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584178A" w14:textId="77777777" w:rsidR="001076B4" w:rsidRDefault="001076B4">
      <w:pPr>
        <w:pStyle w:val="z-TopofForm"/>
      </w:pPr>
      <w:r>
        <w:t>Top of Form</w:t>
      </w:r>
    </w:p>
    <w:p w14:paraId="2787E393" w14:textId="496ECD68" w:rsidR="001076B4" w:rsidRDefault="001076B4">
      <w:pPr>
        <w:pStyle w:val="Heading5"/>
        <w:divId w:val="42554359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1998-03-23</w:t>
        </w:r>
      </w:hyperlink>
    </w:p>
    <w:p w14:paraId="23323B19" w14:textId="77777777" w:rsidR="001076B4" w:rsidRDefault="001076B4">
      <w:pPr>
        <w:rPr>
          <w:rFonts w:eastAsia="Times New Roman"/>
        </w:rPr>
      </w:pPr>
    </w:p>
    <w:p w14:paraId="5911E680" w14:textId="77777777" w:rsidR="001076B4" w:rsidRDefault="001076B4">
      <w:pPr>
        <w:divId w:val="21305155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EC4B417" w14:textId="77777777" w:rsidR="001076B4" w:rsidRDefault="001076B4">
      <w:pPr>
        <w:divId w:val="789280033"/>
        <w:rPr>
          <w:rFonts w:eastAsia="Times New Roman"/>
        </w:rPr>
      </w:pPr>
      <w:r>
        <w:rPr>
          <w:rFonts w:eastAsia="Times New Roman"/>
        </w:rPr>
        <w:pict w14:anchorId="7D0D8763"/>
      </w:r>
      <w:r>
        <w:rPr>
          <w:rFonts w:eastAsia="Times New Roman"/>
        </w:rPr>
        <w:pict w14:anchorId="0B0FDDA6"/>
      </w:r>
      <w:r>
        <w:rPr>
          <w:rFonts w:eastAsia="Times New Roman"/>
          <w:noProof/>
        </w:rPr>
        <w:drawing>
          <wp:inline distT="0" distB="0" distL="0" distR="0" wp14:anchorId="7AB6E65E" wp14:editId="55B0A5C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85EF" w14:textId="77777777" w:rsidR="001076B4" w:rsidRDefault="001076B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D23C9F6" w14:textId="77777777">
        <w:trPr>
          <w:tblCellSpacing w:w="0" w:type="dxa"/>
        </w:trPr>
        <w:tc>
          <w:tcPr>
            <w:tcW w:w="2500" w:type="pct"/>
            <w:hideMark/>
          </w:tcPr>
          <w:p w14:paraId="024808C8" w14:textId="77777777" w:rsidR="001076B4" w:rsidRDefault="001076B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2029/98</w:t>
            </w:r>
          </w:p>
        </w:tc>
        <w:tc>
          <w:tcPr>
            <w:tcW w:w="2500" w:type="pct"/>
            <w:hideMark/>
          </w:tcPr>
          <w:p w14:paraId="208583F3" w14:textId="77777777" w:rsidR="001076B4" w:rsidRDefault="001076B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března 1998</w:t>
            </w:r>
          </w:p>
        </w:tc>
      </w:tr>
    </w:tbl>
    <w:p w14:paraId="2107B431" w14:textId="77777777" w:rsidR="001076B4" w:rsidRDefault="001076B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března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3F987CC4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dalšího postupu vlády v reformě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7F7312F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126CAF1" w14:textId="4C805C11" w:rsidR="001076B4" w:rsidRDefault="001076B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202</w:t>
        </w:r>
      </w:hyperlink>
    </w:p>
    <w:p w14:paraId="0844447D" w14:textId="77777777" w:rsidR="001076B4" w:rsidRDefault="001076B4">
      <w:pPr>
        <w:rPr>
          <w:rFonts w:eastAsia="Times New Roman"/>
        </w:rPr>
      </w:pPr>
    </w:p>
    <w:p w14:paraId="3E042715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předložený materiál (kap. 2.2.) bude upraven podle připomínky místopředsedy vlády a ministra zemědělství.</w:t>
      </w:r>
    </w:p>
    <w:p w14:paraId="405C28E5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a doplňuje zákon č. 140/1961 Sb., trestní zákon, ve znění pozdějších předpisů, a doplňuje zákon České národní rady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A99B1FC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ministryní spravedlnosti s tím, že bude pokračovat na jednání své schůze dne 30. března 1998.</w:t>
      </w:r>
    </w:p>
    <w:p w14:paraId="654DCD63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stanoví sazba cla a celní kvóta pro dovoz semen slunečnice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CD3BAF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financí a přijala</w:t>
      </w:r>
    </w:p>
    <w:p w14:paraId="007797EC" w14:textId="6BDE3D9F" w:rsidR="001076B4" w:rsidRDefault="001076B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203.</w:t>
        </w:r>
      </w:hyperlink>
    </w:p>
    <w:p w14:paraId="070BE937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Jana Klase a Miloše Titze na vydání zákona, kterým se doplňuje zákon č. 76/1959 Sb., o některých služebních poměrech vojáků, ve znění pozdějších předpisů (sněmovní tisk č. 410)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EFEAA76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3ADE6126" w14:textId="1776D5EE" w:rsidR="001076B4" w:rsidRDefault="001076B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204.</w:t>
        </w:r>
      </w:hyperlink>
    </w:p>
    <w:p w14:paraId="0041BCCF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Vojtěcha Filipa a Karla Vymětala na vydání zákona, kterým se mění a doplňuje zákon č. 92/1991 Sb., o podmínkách převodu majetku státu na jiné osoby, ve znění pozdějších předpisů (sněmovní tisk č. 416)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173/98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F5080B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7428CB3" w14:textId="70C5B24E" w:rsidR="001076B4" w:rsidRDefault="001076B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205.</w:t>
        </w:r>
      </w:hyperlink>
    </w:p>
    <w:p w14:paraId="4F1C9D3F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převod financování a úvěrování družstevní bytové výstavby z Investiční a Poštovní banky, a.s. do státního peněžního ústavu Konsolidační banka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C95B39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2BD4B50" w14:textId="0D3FF26B" w:rsidR="001076B4" w:rsidRDefault="001076B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206.</w:t>
        </w:r>
      </w:hyperlink>
    </w:p>
    <w:p w14:paraId="52FEF8FA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Kontrolní závěr Nejvyššího kontrolního úřadu č. 97/05 - kontrola likvidace vybraných státních podniků vnitřního obchodu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A28283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byl stažen z jednání schůze.</w:t>
      </w:r>
    </w:p>
    <w:p w14:paraId="6775A072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Kontrolní závěr Nejvyššího kontrolního úřadu z kontroly “Prostředky státního rozpočtu na podporu bytové výstavby”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176/98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9932D9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V l á d a za účasti prezidenta Nejvyššího kontrolního úřadu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materiál předložený ministrem pro místní rozvoj a stanoviska Ministerstva financí a Ministerstva pro místní rozvoj k tomuto materiálu,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ba) ministru financí ve spolupráci s ministrem pro místní rozvoj uplatnit zjištěné legislativní nedostatky při přípravě novelizace rozpočtových pravidel republiky,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bb) členům vlády, aby ke kontrolním závěrům Nejvyššího kontrolního úřadu uváděli vždy stručný přehled opatření přijatých k výsledkům kontroly.</w:t>
      </w:r>
    </w:p>
    <w:p w14:paraId="5E4064DB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z kontrolní akce “Prostředky státního rozpočtu poskytnuté státní organizaci České dráhy”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69FDF9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materiál předložený ministrem dopravy a spojů a stanovisko Ministerstva dopravy a spojů k tomuto materiálu,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dopravy a spojů požádat předsedu Správní rady Českých drah, aby zajistil kontrolu plnění přijatých opatření generálního ředitele Českých drah k výsledkům kontrolního závěru uvedeného v odst. a) tohoto bodu záznamu do 31. března 1999.</w:t>
      </w:r>
    </w:p>
    <w:p w14:paraId="6841202E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Kontrolní závěr Nejvyššího kontrolního úřadu z kontroly hospodaření s prostředky státního rozpočtu vynaloženými na pořízení investičního majetku a určenými na investiční výdaje u České správy sociálního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7C860A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v z a l a n a v ě d o m í materiál předložený ministrem práce a sociálních věcí a stanovisko Ministerstva práce a sociálních věcí k tomuto materiálu.</w:t>
      </w:r>
    </w:p>
    <w:p w14:paraId="352EF4BE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Kontrolní závěr Nejvyššího kontrolního úřadu č. 97/13 - Výběr a užití finančních prostředků v oblasti ochrany ovzduší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6FDEF5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materiál předložený ministrem životního prostředí včetně opatření uvedených v části IV předloženého materiálu,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životního prostředí informovat do 30. června 1998 vládu o splnění opatření uvedených v odst. a) tohoto bodu záznamu. </w:t>
      </w:r>
    </w:p>
    <w:p w14:paraId="0FC95737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provedení rozboru právního řádu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239646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- předsedou Legislativní rady vlády a přijala</w:t>
      </w:r>
    </w:p>
    <w:p w14:paraId="0248C53D" w14:textId="58BF648B" w:rsidR="001076B4" w:rsidRDefault="001076B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207.</w:t>
        </w:r>
      </w:hyperlink>
    </w:p>
    <w:p w14:paraId="3CC3656A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doplnění “Statutu Rady vlády České republiky pro výzkum a vývoj”, na doplnění “Statutu Grantové agentury České republiky” a na odvolání a jmenování člena předsednictva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225/98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166C74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školství, mládeže a tělovýchovy byl stažen z jednání schůze s tím, že bude projednán na jednání schůze vlády dne 30. března 1998.</w:t>
      </w:r>
    </w:p>
    <w:p w14:paraId="0A4B5990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plnění úkolů uložených vládou České republiky za měsíc únor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B79E5E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vedoucím Úřadu vlády a přijala</w:t>
      </w:r>
    </w:p>
    <w:p w14:paraId="2A432057" w14:textId="1A536ED5" w:rsidR="001076B4" w:rsidRDefault="001076B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208.</w:t>
        </w:r>
      </w:hyperlink>
    </w:p>
    <w:p w14:paraId="6C3C792D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Další postup při jednání o Mnohostranné dohodě o investicích (MAI)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01AFCD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materiálu předloženého ministrem financí s tím, že předložený materiál bude znovu posouzen členy vlády.</w:t>
      </w:r>
    </w:p>
    <w:p w14:paraId="46C24070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podpis a ratifikaci Úmluvy o ochraně architektonického dědictví Evropy, Rada Evropy číslo 121, sjednané v Granadě dne 3.10.1985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215/98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2ED0EC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místopředsedou vlády a ministrem zahraničních věcí a přijala</w:t>
      </w:r>
    </w:p>
    <w:p w14:paraId="1011A51C" w14:textId="34642C6C" w:rsidR="001076B4" w:rsidRDefault="001076B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209</w:t>
        </w:r>
      </w:hyperlink>
    </w:p>
    <w:p w14:paraId="0FF7DF91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upraveny předkládací zprávy obsažené v příloze II a IV předloženého materiálu podle připomínky ministra - předsedy Legislativní rady vlády.</w:t>
      </w:r>
    </w:p>
    <w:p w14:paraId="33488096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vyslání delegace České republiky na sedmé výroční zasedání Rady guvernérů Evropské banky pro obnovu a rozvoj (EBRD)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F79DC32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10164FA" w14:textId="6CE305BC" w:rsidR="001076B4" w:rsidRDefault="001076B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210.</w:t>
        </w:r>
      </w:hyperlink>
    </w:p>
    <w:p w14:paraId="2D8B7335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odprodej objektů velvyslanectví České republiky v Bonnu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218/98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CF8E6C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A97A63C" w14:textId="20177EEC" w:rsidR="001076B4" w:rsidRDefault="001076B4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211.</w:t>
        </w:r>
      </w:hyperlink>
    </w:p>
    <w:p w14:paraId="76D0F142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C46A49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 jednání.</w:t>
      </w:r>
    </w:p>
    <w:p w14:paraId="322E4F5B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Změna Rady pro nadace, zřízené usnesením vlády ČR č. 428 ze dne 10. června 1992, na Radu vlády České republiky pro nestátní neziskové organizace, a schválení jejího Statutu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5A731EC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V. Mlynářem byl stažen z programu jednání.</w:t>
      </w:r>
    </w:p>
    <w:p w14:paraId="6A32F8BC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Dohody mezi vládou České republiky a vládou Nizozemského království o mezinárodní silniční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242/98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7D2182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1B7B5092" w14:textId="1F32D750" w:rsidR="001076B4" w:rsidRDefault="001076B4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212.</w:t>
        </w:r>
      </w:hyperlink>
    </w:p>
    <w:p w14:paraId="64CEAA6F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Upřesněný poziční dokument k tématickému bloku “Zpracovatelský průmysl a stavebnictví”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243/98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6D4368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5BFD9E0" w14:textId="39E29021" w:rsidR="001076B4" w:rsidRDefault="001076B4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213.</w:t>
        </w:r>
      </w:hyperlink>
    </w:p>
    <w:p w14:paraId="0C165233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změnu usnesení vlády z 29. října 1997 č. 677, k návrhu na sjednání Dohody mezi Českou republikou a Paraguayskou republikou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4F5C309D" w14:textId="77777777" w:rsidR="001076B4" w:rsidRDefault="001076B4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financí přijala </w:t>
      </w:r>
    </w:p>
    <w:p w14:paraId="1EC1D8D2" w14:textId="504785CF" w:rsidR="001076B4" w:rsidRDefault="001076B4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DA7A557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změnu usnesení vlády ze 4. března 1998 č. 156, k návrhu na jmenování předsedy a členů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7EC528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financí přijala </w:t>
      </w:r>
    </w:p>
    <w:p w14:paraId="615E8577" w14:textId="2159CA23" w:rsidR="001076B4" w:rsidRDefault="001076B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23322D7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Další postup vlády při projednávání vládního návrhu zákona o podmínkách převodu zemědělských a lesních pozemků z vlastnictví státu na jiné osoby a o změně a doplnění zákona České národní rady č. 569/1991 Sb., o Pozemkovém fondu České republiky, ve znění pozdějších předpisů, a zákona České národní rady č. 357/1992 Sb., o dani dědické, dani darovací a dani z převodu nemovitostí, ve znění pozdějších předpisů, v Poslanecké sněmovně Parlamentu České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</w:t>
      </w:r>
    </w:p>
    <w:p w14:paraId="7ECC4833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zemědělství s o u h l a s i l a s dalším postupem vlády při projednávání vládního návrhu zákona o podmínkách převodu zemědělských a lesních pozemků z vlastnictví státu na jiné osoby a o změně a doplnění zákona České národní rady č. 569/1991 Sb., o Pozemkovém fondu České republiky, ve znění pozdějších předpisů, a zákona České národní rady č. 357/1992 Sb., o dani dědické, dani darovací a dani z převodu nemovitostí, ve znění pozdějších předpisů, v Poslanecké s</w:t>
      </w:r>
      <w:r>
        <w:rPr>
          <w:rFonts w:ascii="Times New Roman CE" w:eastAsia="Times New Roman" w:hAnsi="Times New Roman CE" w:cs="Times New Roman CE"/>
          <w:sz w:val="27"/>
          <w:szCs w:val="27"/>
        </w:rPr>
        <w:t>němovně Parlamentu České republiky.</w:t>
      </w:r>
    </w:p>
    <w:p w14:paraId="7DFAD246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</w:t>
      </w:r>
      <w:r>
        <w:rPr>
          <w:rFonts w:ascii="Times New Roman CE" w:eastAsia="Times New Roman" w:hAnsi="Times New Roman CE" w:cs="Times New Roman CE"/>
          <w:sz w:val="27"/>
          <w:szCs w:val="27"/>
        </w:rPr>
        <w:t>Ústní informace prezidenta Nejvyššího kontrolního úřadu o jeho jednání se zástupci Evropské unie a některých dalších mezinárodních organizací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61C10A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ústní informaci prezidenta Nejvyššího kontrolního úřadu o jeho jednání se zástupci Evropské unie a některých dalších mezinárodních organizací,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žádost prezidenta Nejvyššího kontrolního úřadu o součinnost členů vlády při celkovém rozboru kontrolních mechanismů v České republice.</w:t>
      </w:r>
    </w:p>
    <w:p w14:paraId="33376EFB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Ústní informace místopředsedy vlády a ministra zahraničních věcí o aktuální politické situaci v Ruské federaci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0A95E8F" w14:textId="77777777" w:rsidR="001076B4" w:rsidRDefault="001076B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 ústní informací místopředsedy vlády a ministra zahraničních věcí o aktuální politické situaci v Ruské federaci.</w:t>
      </w:r>
    </w:p>
    <w:p w14:paraId="2C9D89D0" w14:textId="77777777" w:rsidR="001076B4" w:rsidRDefault="001076B4">
      <w:pPr>
        <w:spacing w:after="240"/>
        <w:rPr>
          <w:rFonts w:eastAsia="Times New Roman"/>
        </w:rPr>
      </w:pPr>
    </w:p>
    <w:p w14:paraId="32BCBFC3" w14:textId="77777777" w:rsidR="001076B4" w:rsidRDefault="001076B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E157575" w14:textId="77777777" w:rsidR="001076B4" w:rsidRDefault="001076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pracovní cestě ministra pro místní rozvoj MVDr. Jana Černého do SRN (Berlín) ve dnech 6. - 8.3.1998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232/98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vývoji hrubého domácího produktu za rok 1997 (předložil předseda Českého statistického úřadu)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847C645" w14:textId="77777777" w:rsidR="001076B4" w:rsidRDefault="001076B4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248E2AD2" w14:textId="77777777" w:rsidR="001076B4" w:rsidRDefault="001076B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B4"/>
    <w:rsid w:val="001076B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90E5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4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c1625829bcc4d0cec12565d8003477fb%3fOpen&amp;Name=CN=Ghoul\O=ENV\C=CZ&amp;Id=C1256A62004E5036" TargetMode="External"/><Relationship Id="rId18" Type="http://schemas.openxmlformats.org/officeDocument/2006/relationships/hyperlink" Target="file:///c:\redir.nsf%3fRedirect&amp;To=\66bbfabee8e70f37c125642e0052aae5\03666ab078462d14c12565d800367f86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a2a449d24a91ef55c12565d80036ed01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a421f1ad7007a3c9c12565d800345438%3fOpen&amp;Name=CN=Ghoul\O=ENV\C=CZ&amp;Id=C1256A62004E5036" TargetMode="External"/><Relationship Id="rId17" Type="http://schemas.openxmlformats.org/officeDocument/2006/relationships/hyperlink" Target="file:///c:\redir.nsf%3fRedirect&amp;To=\66bbfabee8e70f37c125642e0052aae5\4a85b5dfa48f6821c12565d8003651f8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b772044041548dc1c12565d70023ebfb%3fOpen&amp;Name=CN=Ghoul\O=ENV\C=CZ&amp;Id=C1256A62004E5036" TargetMode="External"/><Relationship Id="rId20" Type="http://schemas.openxmlformats.org/officeDocument/2006/relationships/hyperlink" Target="file:///c:\redir.nsf%3fRedirect&amp;To=\66bbfabee8e70f37c125642e0052aae5\f51cfde3f1e9c5cfc12565d80036cca0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e43953cbcf5c0403c12565d70023c342%3fOpen&amp;Name=CN=Ghoul\O=ENV\C=CZ&amp;Id=C1256A62004E5036" TargetMode="External"/><Relationship Id="rId24" Type="http://schemas.openxmlformats.org/officeDocument/2006/relationships/hyperlink" Target="file:///c:\redir.nsf%3fRedirect&amp;To=\66bbfabee8e70f37c125642e0052aae5\2d2ee2e138c06d90c12565d800375497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032f5cc6c929edf4c12565d800359090%3fOpen&amp;Name=CN=Ghoul\O=ENV\C=CZ&amp;Id=C1256A62004E5036" TargetMode="External"/><Relationship Id="rId23" Type="http://schemas.openxmlformats.org/officeDocument/2006/relationships/hyperlink" Target="file:///c:\redir.nsf%3fRedirect&amp;To=\66bbfabee8e70f37c125642e0052aae5\42d9182e3752e6eac12565d8003731f1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a21af8d8c9e7534ec12565d80036a63d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3-23" TargetMode="External"/><Relationship Id="rId14" Type="http://schemas.openxmlformats.org/officeDocument/2006/relationships/hyperlink" Target="file:///c:\redir.nsf%3fRedirect&amp;To=\66bbfabee8e70f37c125642e0052aae5\cce55ffc4df0f052c12565d800353e69%3fOpen&amp;Name=CN=Ghoul\O=ENV\C=CZ&amp;Id=C1256A62004E5036" TargetMode="External"/><Relationship Id="rId22" Type="http://schemas.openxmlformats.org/officeDocument/2006/relationships/hyperlink" Target="file:///c:\redir.nsf%3fRedirect&amp;To=\66bbfabee8e70f37c125642e0052aae5\62fca013b82ccfacc12565d800370f6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2278</Words>
  <Characters>12985</Characters>
  <Application>Microsoft Office Word</Application>
  <DocSecurity>0</DocSecurity>
  <Lines>108</Lines>
  <Paragraphs>30</Paragraphs>
  <ScaleCrop>false</ScaleCrop>
  <Company>Profinit EU s.r.o.</Company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