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C48AC8B" w14:textId="77777777" w:rsidR="00465F6F" w:rsidRDefault="00465F6F">
      <w:pPr>
        <w:pStyle w:val="z-TopofForm"/>
      </w:pPr>
      <w:r>
        <w:t>Top of Form</w:t>
      </w:r>
    </w:p>
    <w:p w14:paraId="3B104323" w14:textId="4DFA7C93" w:rsidR="00465F6F" w:rsidRDefault="00465F6F">
      <w:pPr>
        <w:pStyle w:val="Heading5"/>
        <w:divId w:val="186990267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1998-07-01</w:t>
        </w:r>
      </w:hyperlink>
    </w:p>
    <w:p w14:paraId="79EC6C41" w14:textId="77777777" w:rsidR="00465F6F" w:rsidRDefault="00465F6F">
      <w:pPr>
        <w:rPr>
          <w:rFonts w:eastAsia="Times New Roman"/>
        </w:rPr>
      </w:pPr>
    </w:p>
    <w:p w14:paraId="7E01F1F2" w14:textId="77777777" w:rsidR="00465F6F" w:rsidRDefault="00465F6F">
      <w:pPr>
        <w:divId w:val="136008421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BABC654" w14:textId="77777777" w:rsidR="00465F6F" w:rsidRDefault="00465F6F">
      <w:pPr>
        <w:divId w:val="1925215392"/>
        <w:rPr>
          <w:rFonts w:eastAsia="Times New Roman"/>
        </w:rPr>
      </w:pPr>
      <w:r>
        <w:rPr>
          <w:rFonts w:eastAsia="Times New Roman"/>
        </w:rPr>
        <w:pict w14:anchorId="4DB24774"/>
      </w:r>
      <w:r>
        <w:rPr>
          <w:rFonts w:eastAsia="Times New Roman"/>
        </w:rPr>
        <w:pict w14:anchorId="4B6BF944"/>
      </w:r>
      <w:r>
        <w:rPr>
          <w:rFonts w:eastAsia="Times New Roman"/>
          <w:noProof/>
        </w:rPr>
        <w:drawing>
          <wp:inline distT="0" distB="0" distL="0" distR="0" wp14:anchorId="08469487" wp14:editId="16BCA4F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5044" w14:textId="77777777" w:rsidR="00465F6F" w:rsidRDefault="00465F6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4560500" w14:textId="77777777">
        <w:trPr>
          <w:tblCellSpacing w:w="0" w:type="dxa"/>
        </w:trPr>
        <w:tc>
          <w:tcPr>
            <w:tcW w:w="2500" w:type="pct"/>
            <w:hideMark/>
          </w:tcPr>
          <w:p w14:paraId="0CE8330C" w14:textId="77777777" w:rsidR="00465F6F" w:rsidRDefault="00465F6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 xml:space="preserve">Čj.: 2061/98 </w:t>
            </w:r>
          </w:p>
        </w:tc>
        <w:tc>
          <w:tcPr>
            <w:tcW w:w="2500" w:type="pct"/>
            <w:hideMark/>
          </w:tcPr>
          <w:p w14:paraId="42FB0E07" w14:textId="77777777" w:rsidR="00465F6F" w:rsidRDefault="00465F6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1. července 1998</w:t>
            </w:r>
          </w:p>
        </w:tc>
      </w:tr>
    </w:tbl>
    <w:p w14:paraId="630A9E66" w14:textId="77777777" w:rsidR="00465F6F" w:rsidRDefault="00465F6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1. července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(28. schůze)</w:t>
      </w:r>
    </w:p>
    <w:p w14:paraId="296BA13F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Průběžná zpráva o dostavbě JE Temelín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595/98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115C0D6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předsedy představenstva a generálního ředitele akciové společnosti ČEZ, a.s., v diskusi projednala zprávu předloženou ministrem průmyslu a obchodu a přijala</w:t>
      </w:r>
    </w:p>
    <w:p w14:paraId="5A938824" w14:textId="0A6FBA68" w:rsidR="00465F6F" w:rsidRDefault="00465F6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465.</w:t>
        </w:r>
      </w:hyperlink>
    </w:p>
    <w:p w14:paraId="68DAA1F8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Národního programu zavedení systému řízení podniků a auditu z hlediska ochrany životního prostředí (Program EMAS)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588/98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6849F95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životního prostředí přijala</w:t>
      </w:r>
    </w:p>
    <w:p w14:paraId="48EACD9A" w14:textId="3CE2084B" w:rsidR="00465F6F" w:rsidRDefault="00465F6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466.</w:t>
        </w:r>
      </w:hyperlink>
    </w:p>
    <w:p w14:paraId="72DE68CE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Základní teze rozvoje informačních systémů veřejné správy a teze zavádění účinné ochrany osobních údajů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547/98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9679B33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materiál předložený předsedou vlády a doplněk předložený ministrem dopravy a spojů a přijala</w:t>
      </w:r>
    </w:p>
    <w:p w14:paraId="76B9D0CF" w14:textId="4479C021" w:rsidR="00465F6F" w:rsidRDefault="00465F6F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467.</w:t>
        </w:r>
      </w:hyperlink>
    </w:p>
    <w:p w14:paraId="518C9ADF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 úhradu ztráty státního peněžního ústavu Konsolidační banka Praha za rok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617/98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A1E38A7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147017C4" w14:textId="59B1CB95" w:rsidR="00465F6F" w:rsidRDefault="00465F6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468.</w:t>
        </w:r>
      </w:hyperlink>
    </w:p>
    <w:p w14:paraId="2B4C7D6A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o postupu prací na soukromoprávním kodexu, na novém trestním zákoně a trestním řádu a návrhu dalších opatření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611/98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07422BA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ministryní spravedlnosti a přijala</w:t>
      </w:r>
    </w:p>
    <w:p w14:paraId="7264FD87" w14:textId="50E1B28A" w:rsidR="00465F6F" w:rsidRDefault="00465F6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469.</w:t>
        </w:r>
      </w:hyperlink>
    </w:p>
    <w:p w14:paraId="275F1A95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Řešení problematiky ČSA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606/98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68B8765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31D5E930" w14:textId="1125532D" w:rsidR="00465F6F" w:rsidRDefault="00465F6F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470.</w:t>
        </w:r>
      </w:hyperlink>
    </w:p>
    <w:p w14:paraId="765F9274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investičních pobídek pro firmu AEG Kondensatoren und Wandler GmbH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614/98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B8258F0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průmyslu a obchodu a přijala</w:t>
      </w:r>
    </w:p>
    <w:p w14:paraId="629ABF22" w14:textId="79E9FA40" w:rsidR="00465F6F" w:rsidRDefault="00465F6F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471.</w:t>
        </w:r>
      </w:hyperlink>
    </w:p>
    <w:p w14:paraId="65A37449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investičních pobídek pro firmu Hayes Lemmerz S.P.A.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615/98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AB0F4CD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01AC45FA" w14:textId="7E16FD35" w:rsidR="00465F6F" w:rsidRDefault="00465F6F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472.</w:t>
        </w:r>
      </w:hyperlink>
    </w:p>
    <w:p w14:paraId="490531B4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usnesení vlády o schválení územního plánu velkého územního celku Chráněné krajinné oblasti MORAVSKÝ KRAS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601/98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750B4D6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1E365C8C" w14:textId="58A6CC84" w:rsidR="00465F6F" w:rsidRDefault="00465F6F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473.</w:t>
        </w:r>
      </w:hyperlink>
    </w:p>
    <w:p w14:paraId="2689226E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Řešení otázky romského památníku v Letech u Písku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584/98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5FA98F2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předloženém ministrem V. Mlynářem, předsedou Meziresortní komise pro záležitosti romské komunity, přijala</w:t>
      </w:r>
    </w:p>
    <w:p w14:paraId="29CA6497" w14:textId="58CD8BF5" w:rsidR="00465F6F" w:rsidRDefault="00465F6F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481C541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Kontrolní závěr Nejvyššího kontrolního úřadu č. 97/01 z kontroly hospodaření s finančními prostředky poskytovanými lesnímu hospodářství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464/98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17924A2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Nejvyššího kontrolního úřadu v z a l a materiál předložený místopředsedou vlády a ministrem zemědělství n a v ě d o m í .</w:t>
      </w:r>
    </w:p>
    <w:p w14:paraId="6F7F2268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Kontrolní závěr Nejvyššího kontrolního úřadu č. 97/18 z kontroly financování učňovských zařízení zřízených Ministerstvem zemědělství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465/98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B57DB86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Nejvyššího kontrolního úřadu v z a l a materiál předložený místopředsedou vlády a ministrem zemědělství n a v ě d o m í .</w:t>
      </w:r>
    </w:p>
    <w:p w14:paraId="748DABAC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Kontrolní závěr Nejvyššího kontrolního úřadu č. 97/03 z kontrolní akce “Televizní poplatky vybírané na základě zákona”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512/98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9FFD965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Nejvyššího kontrolního úřadu v z a l a materiál předložený ministrem kultury n a v ě d o m í .</w:t>
      </w:r>
    </w:p>
    <w:p w14:paraId="6743F7E4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Kontrolní závěr Nejvyššího kontrolního úřadu č. 97/04 z kontroly hospodaření Pozemkového fondu ČR s majetkem státu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529/98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589DDF0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Nejvyššího kontrolního úřadu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materiál předložený místopředsedou vlády a ministrem zemědělství,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místopředsedovi vlády a ministru zemědělství a předsedovi prezidia Pozemkového fondu České republiky prosazovat v prezidiu Pozemkového fondu České republiky splnění nápravných opatření uvedených v části IV předloženého materiálu. </w:t>
      </w:r>
    </w:p>
    <w:p w14:paraId="0514208D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</w:t>
      </w:r>
      <w:r>
        <w:rPr>
          <w:rFonts w:ascii="Times New Roman CE" w:eastAsia="Times New Roman" w:hAnsi="Times New Roman CE" w:cs="Times New Roman CE"/>
          <w:sz w:val="27"/>
          <w:szCs w:val="27"/>
        </w:rPr>
        <w:t>Kontrolní závěr Nejvyššího kontrolního úřadu č. 96/30 z kontroly hospodaření s prostředky státního rozpočtu vyčleněnými na financování výzkumu a vývoje v resortu Ministerstva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624/98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03164F6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za účasti prezidenta Nejvyššího kontrolního úřadu v z a l a materiál předložený místopředsedou vlády a ministrem zemědělství n a v ě d o m í . </w:t>
      </w:r>
    </w:p>
    <w:p w14:paraId="31FB23DC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postupu při zřizování dalších přechodů na státních hranicích, včetně související finanční problematiky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592/98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A9B7762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093F9085" w14:textId="60DE67D9" w:rsidR="00465F6F" w:rsidRDefault="00465F6F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475.</w:t>
        </w:r>
      </w:hyperlink>
    </w:p>
    <w:p w14:paraId="6697EE58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sjednání Dohody o přístupu Bulharské republiky ke Středoevropské dohodě o volném obchodu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612/98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D9F905D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a místopředsedou vlády a ministrem zahraničních věcí přijala</w:t>
      </w:r>
    </w:p>
    <w:p w14:paraId="1D723D4B" w14:textId="4E4FFBA6" w:rsidR="00465F6F" w:rsidRDefault="00465F6F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476.</w:t>
        </w:r>
      </w:hyperlink>
    </w:p>
    <w:p w14:paraId="42A62350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Výsledky Regionální konference EHK/OSN o dopravě a životním prostředí (Vídeň, 12. - 14. listopadu 1997) a schválení Protokolu o kombinované dopravě po vnitrozemských vodních cestách k Evropské dohodě o nejdůležitějších trasách mezinárodní kombinované dopravy a souvisících objektech (AGTC)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594/98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AA58F52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dopravy a spojů a životního prostředí a místopředsedou vlády a ministrem zahraničních věcí a přijala</w:t>
      </w:r>
    </w:p>
    <w:p w14:paraId="3C784622" w14:textId="5B001F41" w:rsidR="00465F6F" w:rsidRDefault="00465F6F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477.</w:t>
        </w:r>
      </w:hyperlink>
    </w:p>
    <w:p w14:paraId="6D275E3D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Obeslání 32. Shromáždění Mezinárodní organizace pro civilní letectví (ICAO) a Diplomatické konference k čínskému znění Úmluvy o mezinárodním civilním letectví (Chicago, 1944)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610/98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A574CD6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a místopředsedou vlády a ministrem zahraničních věcí přijala</w:t>
      </w:r>
    </w:p>
    <w:p w14:paraId="222B7F31" w14:textId="747A85BA" w:rsidR="00465F6F" w:rsidRDefault="00465F6F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478.</w:t>
        </w:r>
      </w:hyperlink>
    </w:p>
    <w:p w14:paraId="79BB3F48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Metodický pokyn pro likvidaci státních podniků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604/98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F77AE1C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jednání.</w:t>
      </w:r>
    </w:p>
    <w:p w14:paraId="4D5F32E0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Rozhodnutí o privatizaci podle § 10, odst. 1 zákona č. 92/1991 Sb., o podmínkách převodu majetku státu na jiné osoby, ve znění pozdějších předpisů (materiál č. 170)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599/98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82F98E2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35090A51" w14:textId="0EE6767F" w:rsidR="00465F6F" w:rsidRDefault="00465F6F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6DD94B3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usnesení vlády k projektu řízeného útlumu činnosti CKM a.s. a následného zrušení této obchodní společnosti s likvidací, která je ve správě Fondu dětí a mládeže dle zákona číslo 113/1993 Sb., ve znění zákona č. 307/97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626/98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D9E779C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projednávání návrhu předloženého ministrem školství, mládeže a tělovýchovy p ř e r u š i l a . </w:t>
      </w:r>
    </w:p>
    <w:p w14:paraId="735F7AAE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Přehled úkolů požadovaných Poslaneckou sněmovnou Parlamentu ČR, které nebyly dosud splněny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0F24B57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předsedy vlády s t a n o v i l a , že materiál předložený vedoucím Úřadu vlády bude projednán na jednání schůze vlády dne 8. července 1998. </w:t>
      </w:r>
    </w:p>
    <w:p w14:paraId="5A411242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Ústní informace předsedy vlády o dopisu představitelky odborových svazů rozpočtových a příspěvkových organizací předsedovi vlády obsahující mzdové požadavky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D665D06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sdělení předsedy vlády o dopisu představitelky odborových svazů rozpočtových a příspěvkových organizací předsedovi vlády obsahující mzdové požadavky a p o v ě ř i l a předsedu vlády, aby na tento dopis podle zadání vlády odpověděl.</w:t>
      </w:r>
    </w:p>
    <w:p w14:paraId="2B0B6A00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Výdaje nad rámec schváleného státního rozpočtu na rok 1998, stav k 30. červnu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FEE4C07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Členové vlády p ř e v z a l i od ministra financí písemnou informaci o přehledu výdajů nad rámec schváleného státního rozpočtu na rok 1998 se stavem k 30. červnu 1998 s tím, že podle potřeby sdělí ministru financí další informace.</w:t>
      </w:r>
    </w:p>
    <w:p w14:paraId="23E79411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Ústní informace ministryně zdravotnictví o upřesnění stanovení výše úhrad zdravotní péče hrazené z veřejného zdravotního pojištění pro 3. resp. 4. čtvrtletí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6281CD5" w14:textId="77777777" w:rsidR="00465F6F" w:rsidRDefault="00465F6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ministryně zdravotnictví o upřesnění stanovení výše úhrad zdravotní péče hrazené z veřejného zdravotního pojištění pro 3. resp. 4. čtvrtletí 1998, a to Čl. 9 odst. 2 textu ve Věstníku Ministerstva zdravotnictví zpracovaného na základě usnesení vlády z 24. června 1998 č. 448, k návrhu stanovení hodnot bodu a výše úhrad zdravotní péče hrazené z veřejného zdravotního pojištění.</w:t>
      </w:r>
    </w:p>
    <w:p w14:paraId="4BE6C3E3" w14:textId="77777777" w:rsidR="00465F6F" w:rsidRDefault="00465F6F">
      <w:pPr>
        <w:spacing w:after="240"/>
        <w:rPr>
          <w:rFonts w:eastAsia="Times New Roman"/>
        </w:rPr>
      </w:pPr>
    </w:p>
    <w:p w14:paraId="6EF5B141" w14:textId="77777777" w:rsidR="00465F6F" w:rsidRDefault="00465F6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29E09FD" w14:textId="77777777" w:rsidR="00465F6F" w:rsidRDefault="00465F6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Analýza deformací v oblasti nájemního bydlení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605/98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humanitární pomoci v prvním pololetí roku 1998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613/98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Změny plánu kontrolní činnosti NKÚ na rok 1997 a na rok 1998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603/98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výsledcích 82. zasedání Rady ministrů Evropské konference ministrů dopravy (CEMT)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593/98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z cesty ministra vnitra ČR Cyrila Svobody do Republiky Slovinsko dne 22. května 1998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597/98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z cesty ministra vnitra ČR Cyrila Svobody do Bruselu dne 28. května 1998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600/98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pracovní cestě ministra pro místní rozvoj MVDr. Jana Černého do Portugalska (Lisabon) ve dnech 2. - 7.6.1998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602/98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výsledcích návštěvy ministra dopravy a spojů ve Švédsku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608/98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zahraniční služební cestě ministra kultury Martina Stropnického do Italské republiky ve dnech 20. - 22. května 1998 (předložil ministr kultury)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609/98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průběhu a výsledcích návštěvy generálního tajemníka Západoevropské unie (ZEU) v České republice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618/98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63F22705" w14:textId="77777777" w:rsidR="00465F6F" w:rsidRDefault="00465F6F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T o š o v s k ý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5BCFCB2C" w14:textId="77777777" w:rsidR="00465F6F" w:rsidRDefault="00465F6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6F"/>
    <w:rsid w:val="00465F6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D4A7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084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e5e1b026b8359bb3c125664f00267764%3fOpen&amp;Name=CN=Ghoul\O=ENV\C=CZ&amp;Id=C1256A62004E5036" TargetMode="External"/><Relationship Id="rId18" Type="http://schemas.openxmlformats.org/officeDocument/2006/relationships/hyperlink" Target="file:///c:\redir.nsf%3fRedirect&amp;To=\66bbfabee8e70f37c125642e0052aae5\2ecaeab71ade578fc125664f002775e0%3fOpen&amp;Name=CN=Ghoul\O=ENV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889e04f056d1f6b3c12566500045b854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b60021df9567782cc1256640003d784f%3fOpen&amp;Name=CN=Ghoul\O=ENV\C=CZ&amp;Id=C1256A62004E5036" TargetMode="External"/><Relationship Id="rId17" Type="http://schemas.openxmlformats.org/officeDocument/2006/relationships/hyperlink" Target="file:///c:\redir.nsf%3fRedirect&amp;To=\66bbfabee8e70f37c125642e0052aae5\db68dd8887644ccac125664f00273396%3fOpen&amp;Name=CN=Ghoul\O=ENV\C=CZ&amp;Id=C1256A62004E5036" TargetMode="External"/><Relationship Id="rId25" Type="http://schemas.openxmlformats.org/officeDocument/2006/relationships/hyperlink" Target="file:///c:\redir.nsf%3fRedirect&amp;To=\66bbfabee8e70f37c125642e0052aae5\8f54ebdcad78fc35c125664f002a0c96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14a1b320d21354d7c125664f0026f2d7%3fOpen&amp;Name=CN=Ghoul\O=ENV\C=CZ&amp;Id=C1256A62004E5036" TargetMode="External"/><Relationship Id="rId20" Type="http://schemas.openxmlformats.org/officeDocument/2006/relationships/hyperlink" Target="file:///c:\redir.nsf%3fRedirect&amp;To=\66bbfabee8e70f37c125642e0052aae5\ae00c13b757a933dc125664f0027d3bc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7ba5825821d3ce65c1256640003d12fa%3fOpen&amp;Name=CN=Ghoul\O=ENV\C=CZ&amp;Id=C1256A62004E5036" TargetMode="External"/><Relationship Id="rId24" Type="http://schemas.openxmlformats.org/officeDocument/2006/relationships/hyperlink" Target="file:///c:\redir.nsf%3fRedirect&amp;To=\66bbfabee8e70f37c125642e0052aae5\cdfdc1b437c0b311c125664f0028243d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2b9bc1f1a606c575c1256640003e1b8c%3fOpen&amp;Name=CN=Ghoul\O=ENV\C=CZ&amp;Id=C1256A62004E5036" TargetMode="External"/><Relationship Id="rId23" Type="http://schemas.openxmlformats.org/officeDocument/2006/relationships/hyperlink" Target="file:///c:\redir.nsf%3fRedirect&amp;To=\66bbfabee8e70f37c125642e0052aae5\10377c97de4e001ec1256640003e6c74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68f39e6cc83cd80dc125664f0027abff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7-01" TargetMode="External"/><Relationship Id="rId14" Type="http://schemas.openxmlformats.org/officeDocument/2006/relationships/hyperlink" Target="file:///c:\redir.nsf%3fRedirect&amp;To=\66bbfabee8e70f37c125642e0052aae5\b5eaa10c851deebac125664f0026b04e%3fOpen&amp;Name=CN=Ghoul\O=ENV\C=CZ&amp;Id=C1256A62004E5036" TargetMode="External"/><Relationship Id="rId22" Type="http://schemas.openxmlformats.org/officeDocument/2006/relationships/hyperlink" Target="file:///c:\redir.nsf%3fRedirect&amp;To=\66bbfabee8e70f37c125642e0052aae5\35031aa1141304c2c125664f0027f929%3fOpen&amp;Name=CN=Ghoul\O=ENV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2224</Words>
  <Characters>12678</Characters>
  <Application>Microsoft Office Word</Application>
  <DocSecurity>0</DocSecurity>
  <Lines>105</Lines>
  <Paragraphs>29</Paragraphs>
  <ScaleCrop>false</ScaleCrop>
  <Company>Profinit EU s.r.o.</Company>
  <LinksUpToDate>false</LinksUpToDate>
  <CharactersWithSpaces>14873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