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F273FC" w14:textId="77777777" w:rsidR="007930ED" w:rsidRDefault="007930ED">
      <w:pPr>
        <w:pStyle w:val="z-TopofForm"/>
      </w:pPr>
      <w:r>
        <w:t>Top of Form</w:t>
      </w:r>
    </w:p>
    <w:p w14:paraId="5F585DDE" w14:textId="17A56321" w:rsidR="007930ED" w:rsidRDefault="007930ED">
      <w:pPr>
        <w:pStyle w:val="Heading5"/>
        <w:divId w:val="196542466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1998-07-24</w:t>
        </w:r>
      </w:hyperlink>
    </w:p>
    <w:p w14:paraId="5C15E6E3" w14:textId="77777777" w:rsidR="007930ED" w:rsidRDefault="007930ED">
      <w:pPr>
        <w:rPr>
          <w:rFonts w:eastAsia="Times New Roman"/>
        </w:rPr>
      </w:pPr>
    </w:p>
    <w:p w14:paraId="4F47791E" w14:textId="77777777" w:rsidR="007930ED" w:rsidRDefault="007930ED">
      <w:pPr>
        <w:divId w:val="12086435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FE47E6" w14:textId="77777777" w:rsidR="007930ED" w:rsidRDefault="007930ED">
      <w:pPr>
        <w:divId w:val="46296608"/>
        <w:rPr>
          <w:rFonts w:eastAsia="Times New Roman"/>
        </w:rPr>
      </w:pPr>
      <w:r>
        <w:rPr>
          <w:rFonts w:eastAsia="Times New Roman"/>
        </w:rPr>
        <w:pict w14:anchorId="0AF1F9C5"/>
      </w:r>
      <w:r>
        <w:rPr>
          <w:rFonts w:eastAsia="Times New Roman"/>
        </w:rPr>
        <w:pict w14:anchorId="0007A07C"/>
      </w:r>
      <w:r>
        <w:rPr>
          <w:rFonts w:eastAsia="Times New Roman"/>
          <w:noProof/>
        </w:rPr>
        <w:drawing>
          <wp:inline distT="0" distB="0" distL="0" distR="0" wp14:anchorId="3FA46514" wp14:editId="20C6744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E76B" w14:textId="77777777" w:rsidR="007930ED" w:rsidRDefault="007930E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573237" w14:textId="77777777">
        <w:trPr>
          <w:tblCellSpacing w:w="0" w:type="dxa"/>
        </w:trPr>
        <w:tc>
          <w:tcPr>
            <w:tcW w:w="2500" w:type="pct"/>
            <w:hideMark/>
          </w:tcPr>
          <w:p w14:paraId="4F72DBCC" w14:textId="77777777" w:rsidR="007930ED" w:rsidRDefault="007930E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2071/98</w:t>
            </w:r>
          </w:p>
        </w:tc>
        <w:tc>
          <w:tcPr>
            <w:tcW w:w="2500" w:type="pct"/>
            <w:hideMark/>
          </w:tcPr>
          <w:p w14:paraId="0466F87B" w14:textId="77777777" w:rsidR="007930ED" w:rsidRDefault="007930E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července 1998</w:t>
            </w:r>
          </w:p>
        </w:tc>
      </w:tr>
    </w:tbl>
    <w:p w14:paraId="152E5647" w14:textId="77777777" w:rsidR="007930ED" w:rsidRDefault="007930E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července 1998 v Poslanecké sněmovně Parlamentu ČR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DB0A3A8" w14:textId="77777777" w:rsidR="007930ED" w:rsidRDefault="007930ED">
      <w:pPr>
        <w:rPr>
          <w:rFonts w:eastAsia="Times New Roman"/>
        </w:rPr>
      </w:pPr>
    </w:p>
    <w:p w14:paraId="6C8330E8" w14:textId="77777777" w:rsidR="007930ED" w:rsidRDefault="007930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o použití vojáků v činné službě při rozsáhlé povodňové záplavě v okresech Hradec Králové a Rychnov nad Kněžnou k ochraně lidských životů a majetku na dobu nezbytné potřeby </w:t>
      </w:r>
    </w:p>
    <w:p w14:paraId="7FF81C0E" w14:textId="77777777" w:rsidR="007930ED" w:rsidRDefault="007930E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C5934F4" w14:textId="77777777" w:rsidR="007930ED" w:rsidRDefault="007930E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na jednání své mimořádné schůze přijala</w:t>
      </w:r>
    </w:p>
    <w:p w14:paraId="355155D3" w14:textId="04753F7A" w:rsidR="007930ED" w:rsidRDefault="007930E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0C5649C3" w14:textId="77777777" w:rsidR="007930ED" w:rsidRDefault="00793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Ing. Miloš Z e m a n 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 správnost: JUDr. Hana Hanusová</w:t>
      </w:r>
    </w:p>
    <w:p w14:paraId="6558639A" w14:textId="77777777" w:rsidR="007930ED" w:rsidRDefault="007930E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D7835"/>
    <w:multiLevelType w:val="multilevel"/>
    <w:tmpl w:val="D9C6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276CF"/>
    <w:multiLevelType w:val="multilevel"/>
    <w:tmpl w:val="507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531306">
    <w:abstractNumId w:val="1"/>
  </w:num>
  <w:num w:numId="2" w16cid:durableId="15735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ED"/>
    <w:rsid w:val="007930E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8204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8aa25f0071d0d95c125664f0030a29c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