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78A961" w14:textId="77777777" w:rsidR="00717876" w:rsidRDefault="00717876">
      <w:pPr>
        <w:pStyle w:val="z-TopofForm"/>
      </w:pPr>
      <w:r>
        <w:t>Top of Form</w:t>
      </w:r>
    </w:p>
    <w:p w14:paraId="5B06BFFC" w14:textId="7ADF1DA8" w:rsidR="00717876" w:rsidRDefault="00717876">
      <w:pPr>
        <w:pStyle w:val="Heading5"/>
        <w:divId w:val="47684262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1998-10-26</w:t>
        </w:r>
      </w:hyperlink>
    </w:p>
    <w:p w14:paraId="2D0006E8" w14:textId="77777777" w:rsidR="00717876" w:rsidRDefault="00717876">
      <w:pPr>
        <w:rPr>
          <w:rFonts w:eastAsia="Times New Roman"/>
        </w:rPr>
      </w:pPr>
    </w:p>
    <w:p w14:paraId="7515BC62" w14:textId="77777777" w:rsidR="00717876" w:rsidRDefault="00717876">
      <w:pPr>
        <w:divId w:val="19789936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DE8EE17" w14:textId="77777777" w:rsidR="00717876" w:rsidRDefault="00717876">
      <w:pPr>
        <w:divId w:val="813640095"/>
        <w:rPr>
          <w:rFonts w:eastAsia="Times New Roman"/>
        </w:rPr>
      </w:pPr>
      <w:r>
        <w:rPr>
          <w:rFonts w:eastAsia="Times New Roman"/>
        </w:rPr>
        <w:pict w14:anchorId="213D5044"/>
      </w:r>
      <w:r>
        <w:rPr>
          <w:rFonts w:eastAsia="Times New Roman"/>
        </w:rPr>
        <w:pict w14:anchorId="483CFBAC"/>
      </w:r>
      <w:r>
        <w:rPr>
          <w:rFonts w:eastAsia="Times New Roman"/>
          <w:noProof/>
        </w:rPr>
        <w:drawing>
          <wp:inline distT="0" distB="0" distL="0" distR="0" wp14:anchorId="668FCD73" wp14:editId="35C9980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D72D" w14:textId="77777777" w:rsidR="00717876" w:rsidRDefault="007178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C9FCF59" w14:textId="77777777">
        <w:trPr>
          <w:tblCellSpacing w:w="0" w:type="dxa"/>
        </w:trPr>
        <w:tc>
          <w:tcPr>
            <w:tcW w:w="2500" w:type="pct"/>
            <w:hideMark/>
          </w:tcPr>
          <w:p w14:paraId="2405A5A0" w14:textId="77777777" w:rsidR="00717876" w:rsidRDefault="0071787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2101/98</w:t>
            </w:r>
          </w:p>
        </w:tc>
        <w:tc>
          <w:tcPr>
            <w:tcW w:w="2500" w:type="pct"/>
            <w:hideMark/>
          </w:tcPr>
          <w:p w14:paraId="07AFC185" w14:textId="77777777" w:rsidR="00717876" w:rsidRDefault="0071787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října 1998</w:t>
            </w:r>
          </w:p>
        </w:tc>
      </w:tr>
    </w:tbl>
    <w:p w14:paraId="19E286D7" w14:textId="77777777" w:rsidR="00717876" w:rsidRDefault="0071787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října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225BA32D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Komplexní zhodnocení povodňové katastrofy v červenci 1997 a návrh systému zabezpečení obnovy území postižených povodněmi, případně dalšími přírodními katastrofami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8FAA40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128315DF" w14:textId="587E9FF8" w:rsidR="00717876" w:rsidRDefault="0071787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700</w:t>
        </w:r>
      </w:hyperlink>
    </w:p>
    <w:p w14:paraId="49EABD77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komplexní zhodnocení povodňové katastrofy v červenci 1997 a návrh systému zabezpečení obnovy území postižených povodněmi, případně dalšími katastrofami, bude upraven podle připomínek ministrů vnitra a školství, mládeže a tělovýchovy.</w:t>
      </w:r>
    </w:p>
    <w:p w14:paraId="4D735393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5C5A03F8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Současný stav čerpání finančních prostředků na realizaci nařízení vlády č. 190/1997 Sb., o poskytování finanční pomoci v oblasti bydlení občanům postiženým povodněmi v roce 1997, ve znění nařízení vlády č. 248/1997 Sb., nařízení vlády č. 170/1998 Sb. a nařízení vlády č. 211/1998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572B92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1F2F37CA" w14:textId="6C7ACA19" w:rsidR="00717876" w:rsidRDefault="0071787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701.</w:t>
        </w:r>
      </w:hyperlink>
    </w:p>
    <w:p w14:paraId="717BF940" w14:textId="77777777" w:rsidR="00717876" w:rsidRDefault="007178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15 přítomných členů vlády hlasovalo pro 15.</w:t>
      </w:r>
    </w:p>
    <w:p w14:paraId="3C160748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Zdeňka Jičínského a dalších na vydání zákona o referendu a o změně a doplnění některých dalších zákonů (zákon o referendu) (sněmovní tisk č. 44)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2238E3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1FED2D3D" w14:textId="59E31EFA" w:rsidR="00717876" w:rsidRDefault="0071787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702.</w:t>
        </w:r>
      </w:hyperlink>
    </w:p>
    <w:p w14:paraId="68ED4FA7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7315B958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Senátu Parlamentu České republiky na vydání zákona, kterým se mění zákon č. 125/1997 Sb., o odpadech (sněmovní tisk č. 45)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3745297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40913ACE" w14:textId="4AD4B12E" w:rsidR="00717876" w:rsidRDefault="0071787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703.</w:t>
        </w:r>
      </w:hyperlink>
    </w:p>
    <w:p w14:paraId="1E89C369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261A4D11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Jiřího Karase a Pavla Tollnera na vydání zákona, kterým se mění a doplňuje zákon č. 87/1991 Sb., o mimosoudních rehabilitacích, ve znění pozdějších předpisů (sněmovní tisk č. 43)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0B484F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DE1F54F" w14:textId="75810640" w:rsidR="00717876" w:rsidRDefault="0071787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704.</w:t>
        </w:r>
      </w:hyperlink>
    </w:p>
    <w:p w14:paraId="608CC624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139A4965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Zuzky Rujbrové a dalších na vydání zákona, kterým se mění a doplňuje zákon č. 99/1963 Sb., občanský soudní řád, ve znění pozdějších předpisů (sněmovní tisk č. 42)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FE53E7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7E57ED6" w14:textId="1E663F7D" w:rsidR="00717876" w:rsidRDefault="0071787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705.</w:t>
        </w:r>
      </w:hyperlink>
    </w:p>
    <w:p w14:paraId="1A3FC13E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 17 přítomných členů vlády hlasovalo pro 17.</w:t>
      </w:r>
    </w:p>
    <w:p w14:paraId="1AE537C6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Senátu Parlamentu České republiky na vydání zákona o jednacím řádu Senátu (sněmovní tisk č. 47)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996F02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74495E4" w14:textId="4FB63C15" w:rsidR="00717876" w:rsidRDefault="0071787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706.</w:t>
        </w:r>
      </w:hyperlink>
    </w:p>
    <w:p w14:paraId="0D371077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147F6765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vymezení územních jednotek NUTS v ČR pro potřeby statistické a analytické a pro potřeby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AE5013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pro hospodářskou politiku a předsedou Českého statistického úřadu přijala</w:t>
      </w:r>
    </w:p>
    <w:p w14:paraId="1842E68F" w14:textId="6F6AFC71" w:rsidR="00717876" w:rsidRDefault="0071787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707.</w:t>
        </w:r>
      </w:hyperlink>
    </w:p>
    <w:p w14:paraId="5993C6F4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12 a proti 5.</w:t>
      </w:r>
    </w:p>
    <w:p w14:paraId="154451AA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celkového způsobu zajištění činností spojených s výkonem funkcí místopředsedů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8FDA41F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vedoucím Úřadu vlády p ř e r u š i l a .</w:t>
      </w:r>
    </w:p>
    <w:p w14:paraId="358E3066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Zabezpečení financování investic v kapitole 327 - Ministerstvo dopravy a spojů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E38BB4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ministry financí a dopravy a spojů p ř e r u š i l a .</w:t>
      </w:r>
    </w:p>
    <w:p w14:paraId="76733947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plnění úkolů uložených vládou České republiky za měsíc září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693E2C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vedoucím Úřadu vlády a přijala</w:t>
      </w:r>
    </w:p>
    <w:p w14:paraId="0982EEB0" w14:textId="1A2B926B" w:rsidR="00717876" w:rsidRDefault="0071787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708.</w:t>
        </w:r>
      </w:hyperlink>
    </w:p>
    <w:p w14:paraId="7F0B7B19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67E71E1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zavedení neautomatických licencí se stanoveným množstevním omezením na dovoz cukru a izoglukózy ze Slovenské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E3B20E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1932C3E4" w14:textId="3FCB3C8C" w:rsidR="00717876" w:rsidRDefault="0071787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709.</w:t>
        </w:r>
      </w:hyperlink>
    </w:p>
    <w:p w14:paraId="4B91BE98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13 a proti 1.</w:t>
      </w:r>
    </w:p>
    <w:p w14:paraId="3149B2F9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postupu mezinárodního společenství při řešení kosovské krize a zapojení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63C78E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zahraničních věcí a obrany a přijala</w:t>
      </w:r>
    </w:p>
    <w:p w14:paraId="55EB8F44" w14:textId="6A324247" w:rsidR="00717876" w:rsidRDefault="0071787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710.</w:t>
        </w:r>
      </w:hyperlink>
    </w:p>
    <w:p w14:paraId="48E40722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EF27E9D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provedení personálních změn ve vedení Úřadu pro státní informační systém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F03003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pro hospodářskou politiku přijala</w:t>
      </w:r>
    </w:p>
    <w:p w14:paraId="046EE159" w14:textId="23120420" w:rsidR="00717876" w:rsidRDefault="0071787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711.</w:t>
        </w:r>
      </w:hyperlink>
    </w:p>
    <w:p w14:paraId="2CC7C948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0781A09B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obeslání čtvrtého zasedání Konference smluvních stran Rámcové úmluvy OSN o změně klimatu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FB1ECC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zahraničních věcí a přijala</w:t>
      </w:r>
    </w:p>
    <w:p w14:paraId="46D92C56" w14:textId="460A5EAB" w:rsidR="00717876" w:rsidRDefault="0071787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712.</w:t>
        </w:r>
      </w:hyperlink>
    </w:p>
    <w:p w14:paraId="1486A9E0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D2FA68F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záměru ŠKODA AUTO a.s. na zřízení společného podniku s OAO Ižmaš Holding v Ruské federaci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815678E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průmyslu a obchodu přijala</w:t>
      </w:r>
    </w:p>
    <w:p w14:paraId="6832A7D9" w14:textId="1D4200A0" w:rsidR="00717876" w:rsidRDefault="0071787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713.</w:t>
        </w:r>
      </w:hyperlink>
    </w:p>
    <w:p w14:paraId="7A5E1402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6328B50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nařízení vlády, kterým se mění nařízení vlády č. 281/1997 Sb., kterým se upravuje výše poplatku za užívání dálnice a rychlostní silnice silničními motorovými vozidly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1735D5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přeložený ministrem dopravy a spojů a přijala</w:t>
      </w:r>
    </w:p>
    <w:p w14:paraId="017907F2" w14:textId="5989F0D3" w:rsidR="00717876" w:rsidRDefault="0071787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714.</w:t>
        </w:r>
      </w:hyperlink>
    </w:p>
    <w:p w14:paraId="1B32810B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B8D4A53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Ústní informace ministra obrany o aktuální situaci v kontingentu Armády České republiky v Bosně a Hercegovině v rámci mírové operace Stabilization Force (SFOR)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695ADB" w14:textId="77777777" w:rsidR="00717876" w:rsidRDefault="007178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</w:t>
      </w:r>
      <w:r>
        <w:rPr>
          <w:rFonts w:ascii="Times New Roman CE" w:eastAsia="Times New Roman" w:hAnsi="Times New Roman CE" w:cs="Times New Roman CE"/>
          <w:sz w:val="27"/>
          <w:szCs w:val="27"/>
        </w:rPr>
        <w:t>ústní informaci ministra obrany o aktuální situaci v kontingentu Armády České republiky v mnohonárodních silách k dohledu nad dodržováním mírové dohody a ke stabilizaci situace na území Bosny a Hercegoviny (Stabilization Force - SFOR) - pohřešování vrtulníku Armády České republiky a jeho posádky od 25. října 1998 - a dále to, že ministr obrany bude vládu o další situaci informovat.</w:t>
      </w:r>
    </w:p>
    <w:p w14:paraId="42CF802A" w14:textId="77777777" w:rsidR="00717876" w:rsidRDefault="0071787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D74A7CC" w14:textId="77777777" w:rsidR="00717876" w:rsidRDefault="0071787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F55FD18" w14:textId="77777777" w:rsidR="00717876" w:rsidRDefault="007178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vývoji peněžních příjmů domácností a životních nákladů za 1. pololetí 1998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některých důsledcích nařízení vlády č. 665 ze dne 7. 10. 1998, kterým se stanovuje clo pro dovoz pšenice pocházející z Maďarské republiky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Změna plánu kontrolní činnosti NKÚ na rok 1997 a změny a doplnění plánu kontrolní činnosti NKÚ na rok 1998 (předložil vedoucí Úřadu v</w:t>
      </w:r>
      <w:r>
        <w:rPr>
          <w:rFonts w:ascii="Times New Roman CE" w:eastAsia="Times New Roman" w:hAnsi="Times New Roman CE" w:cs="Times New Roman CE"/>
          <w:sz w:val="27"/>
          <w:szCs w:val="27"/>
        </w:rPr>
        <w:t>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českém družicovém telekomunikačním systému CESA sat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XXIV. zasedání Shromáždění stran Evropské telekomunikační družicové organizace “EUTELSAT” (předložili ministři dopravy a spojů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0DB8691" w14:textId="77777777" w:rsidR="00717876" w:rsidRDefault="0071787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0C64477" w14:textId="77777777" w:rsidR="00717876" w:rsidRDefault="0071787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76"/>
    <w:rsid w:val="0071787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D502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375b54a26662fa04c12566b3002e9072%3fOpen&amp;Name=CN=Ghoul\O=ENV\C=CZ&amp;Id=C1256A62004E5036" TargetMode="External"/><Relationship Id="rId18" Type="http://schemas.openxmlformats.org/officeDocument/2006/relationships/hyperlink" Target="file:///c:\redir.nsf%3fRedirect&amp;To=\66bbfabee8e70f37c125642e0052aae5\3d66ce7d08e2e919c12566b30033113f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c5c75daf1bcbd9abc12566b30033800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7d329a80f7cb7a7ac12566b3002dfbb9%3fOpen&amp;Name=CN=Ghoul\O=ENV\C=CZ&amp;Id=C1256A62004E5036" TargetMode="External"/><Relationship Id="rId17" Type="http://schemas.openxmlformats.org/officeDocument/2006/relationships/hyperlink" Target="file:///c:\redir.nsf%3fRedirect&amp;To=\66bbfabee8e70f37c125642e0052aae5\eccda8741c07304ac12566b3003076d9%3fOpen&amp;Name=CN=Ghoul\O=ENV\C=CZ&amp;Id=C1256A62004E5036" TargetMode="External"/><Relationship Id="rId25" Type="http://schemas.openxmlformats.org/officeDocument/2006/relationships/hyperlink" Target="file:///c:\redir.nsf%3fRedirect&amp;To=\66bbfabee8e70f37c125642e0052aae5\b6fe23230dbed772c12566b30033dfc1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6c11af77a5c3cc7c12566b3003003c3%3fOpen&amp;Name=CN=Ghoul\O=ENV\C=CZ&amp;Id=C1256A62004E5036" TargetMode="External"/><Relationship Id="rId20" Type="http://schemas.openxmlformats.org/officeDocument/2006/relationships/hyperlink" Target="file:///c:\redir.nsf%3fRedirect&amp;To=\66bbfabee8e70f37c125642e0052aae5\e36b80ac69302b04c12566b300335d1d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897ebbdca98bb70c12566b1004a2f78%3fOpen&amp;Name=CN=Ghoul\O=ENV\C=CZ&amp;Id=C1256A62004E5036" TargetMode="External"/><Relationship Id="rId24" Type="http://schemas.openxmlformats.org/officeDocument/2006/relationships/hyperlink" Target="file:///c:\redir.nsf%3fRedirect&amp;To=\66bbfabee8e70f37c125642e0052aae5\25daf395b79d81e5c12566b30033c309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8df2693062cd7f79c12566b3002fb0e4%3fOpen&amp;Name=CN=Ghoul\O=ENV\C=CZ&amp;Id=C1256A62004E5036" TargetMode="External"/><Relationship Id="rId23" Type="http://schemas.openxmlformats.org/officeDocument/2006/relationships/hyperlink" Target="file:///c:\redir.nsf%3fRedirect&amp;To=\66bbfabee8e70f37c125642e0052aae5\060f06bb07e472efc12566b1004a555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a1680d4af99d6151c12566b30033344d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0-26" TargetMode="External"/><Relationship Id="rId14" Type="http://schemas.openxmlformats.org/officeDocument/2006/relationships/hyperlink" Target="file:///c:\redir.nsf%3fRedirect&amp;To=\66bbfabee8e70f37c125642e0052aae5\7b95f81c808f31d2c12566b3002f5b5d%3fOpen&amp;Name=CN=Ghoul\O=ENV\C=CZ&amp;Id=C1256A62004E5036" TargetMode="External"/><Relationship Id="rId22" Type="http://schemas.openxmlformats.org/officeDocument/2006/relationships/hyperlink" Target="file:///c:\redir.nsf%3fRedirect&amp;To=\66bbfabee8e70f37c125642e0052aae5\788242f2bc2c706dc12566b30033a489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1783</Words>
  <Characters>10166</Characters>
  <Application>Microsoft Office Word</Application>
  <DocSecurity>0</DocSecurity>
  <Lines>84</Lines>
  <Paragraphs>23</Paragraphs>
  <ScaleCrop>false</ScaleCrop>
  <Company>Profinit EU s.r.o.</Company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