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AECEF3" w14:textId="77777777" w:rsidR="00BB41F5" w:rsidRDefault="00BB41F5">
      <w:pPr>
        <w:pStyle w:val="z-TopofForm"/>
      </w:pPr>
      <w:r>
        <w:t>Top of Form</w:t>
      </w:r>
    </w:p>
    <w:p w14:paraId="6445E1D8" w14:textId="4097C479" w:rsidR="00BB41F5" w:rsidRDefault="00BB41F5">
      <w:pPr>
        <w:pStyle w:val="Heading5"/>
        <w:divId w:val="16633405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1998-11-11</w:t>
        </w:r>
      </w:hyperlink>
    </w:p>
    <w:p w14:paraId="67F603B1" w14:textId="77777777" w:rsidR="00BB41F5" w:rsidRDefault="00BB41F5">
      <w:pPr>
        <w:rPr>
          <w:rFonts w:eastAsia="Times New Roman"/>
        </w:rPr>
      </w:pPr>
    </w:p>
    <w:p w14:paraId="63F8908A" w14:textId="77777777" w:rsidR="00BB41F5" w:rsidRDefault="00BB41F5">
      <w:pPr>
        <w:divId w:val="2529782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1CDE5E8" w14:textId="77777777" w:rsidR="00BB41F5" w:rsidRDefault="00BB41F5">
      <w:pPr>
        <w:divId w:val="1175730878"/>
        <w:rPr>
          <w:rFonts w:eastAsia="Times New Roman"/>
        </w:rPr>
      </w:pPr>
      <w:r>
        <w:rPr>
          <w:rFonts w:eastAsia="Times New Roman"/>
        </w:rPr>
        <w:pict w14:anchorId="04C2EC03"/>
      </w:r>
      <w:r>
        <w:rPr>
          <w:rFonts w:eastAsia="Times New Roman"/>
        </w:rPr>
        <w:pict w14:anchorId="44E4E929"/>
      </w:r>
      <w:r>
        <w:rPr>
          <w:rFonts w:eastAsia="Times New Roman"/>
          <w:noProof/>
        </w:rPr>
        <w:drawing>
          <wp:inline distT="0" distB="0" distL="0" distR="0" wp14:anchorId="1CD19AF8" wp14:editId="3032E41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E513" w14:textId="77777777" w:rsidR="00BB41F5" w:rsidRDefault="00BB41F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C34A9D" w14:textId="77777777">
        <w:trPr>
          <w:tblCellSpacing w:w="0" w:type="dxa"/>
        </w:trPr>
        <w:tc>
          <w:tcPr>
            <w:tcW w:w="2500" w:type="pct"/>
            <w:hideMark/>
          </w:tcPr>
          <w:p w14:paraId="27D5E40B" w14:textId="77777777" w:rsidR="00BB41F5" w:rsidRDefault="00BB41F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2107/98</w:t>
            </w:r>
          </w:p>
        </w:tc>
        <w:tc>
          <w:tcPr>
            <w:tcW w:w="2500" w:type="pct"/>
            <w:hideMark/>
          </w:tcPr>
          <w:p w14:paraId="539A412D" w14:textId="77777777" w:rsidR="00BB41F5" w:rsidRDefault="00BB41F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listopadu 1998</w:t>
            </w:r>
          </w:p>
        </w:tc>
      </w:tr>
    </w:tbl>
    <w:p w14:paraId="62125F1F" w14:textId="77777777" w:rsidR="00BB41F5" w:rsidRDefault="00BB41F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listopadu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75D80C4A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Program obnovy venkova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5C5F87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7EC9A690" w14:textId="08BE4D80" w:rsidR="00BB41F5" w:rsidRDefault="00BB41F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730.</w:t>
        </w:r>
      </w:hyperlink>
    </w:p>
    <w:p w14:paraId="1907F181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60C899D5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lesního hospodářství České republiky k 31. 12. 1997 (Doplněné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C27485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zprávu předloženou ministrem zemědělství n a v ě d o m í s tím, že bude upravena podle připomínek místopředsedy vlády a předsedy Legislativní rady vlády, </w:t>
      </w:r>
    </w:p>
    <w:p w14:paraId="60FCDA9F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s o u h l a s i l a se zveřejněním zprávy uvedené v části a) tohoto bodu záznamu,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c) u l o ž i l a ministrům zemědělství, životního prostředí a průmyslu a obchodu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zvážit dopad zrušení množstevních licencí na vývoz surového dříví a informovat vládu do 31. května 1999 o zhodnocení tohoto stavu.</w:t>
      </w:r>
    </w:p>
    <w:p w14:paraId="5F5BEA77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19 přítomných členů vlády hlasovalo pro 19.</w:t>
      </w:r>
    </w:p>
    <w:p w14:paraId="643EB5DD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vodního hospodářství České republiky k 31. 12. 1997 (Doplněné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D3C8EF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zprávu předloženou ministrem zemědělství n a v ě d o m í ,</w:t>
      </w:r>
    </w:p>
    <w:p w14:paraId="5BD05702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s o u h l a s i l a se zveřejněním zprávy uvedené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19 přítomných členů vlády hlasovalo pro 19.</w:t>
      </w:r>
    </w:p>
    <w:p w14:paraId="62A6CDED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 o vydání státních dluhopisů </w:t>
      </w:r>
      <w:r>
        <w:rPr>
          <w:rFonts w:ascii="Times New Roman CE" w:eastAsia="Times New Roman" w:hAnsi="Times New Roman CE" w:cs="Times New Roman CE"/>
          <w:sz w:val="27"/>
          <w:szCs w:val="27"/>
        </w:rPr>
        <w:t>na úhradu závazků Konsolidační banky Praha, státního peněžního ústavu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36F403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s tím, že toto projednávání dokončí po provedení kontroly činnosti transformačních institucí (Konsolidační banky Praha, státního peněžního ústavu, společnosti Česká inkasní, s.r.o., a společnosti Česká finanční, s.r.o.) podle usnesení vlády z 9. září 1998 č. 590, k informaci o použití finančních prostředků poskytnutých Fondem národního majetku České republiky k posílení rezervního fondu státního peněžního ústavu Konsolidační bank</w:t>
      </w:r>
      <w:r>
        <w:rPr>
          <w:rFonts w:ascii="Times New Roman CE" w:eastAsia="Times New Roman" w:hAnsi="Times New Roman CE" w:cs="Times New Roman CE"/>
          <w:sz w:val="27"/>
          <w:szCs w:val="27"/>
        </w:rPr>
        <w:t>a Praha a o operacích této banky s majetkovými účastmi, akciemi a jinými cennými papíry s proměnlivým výnosem.</w:t>
      </w:r>
    </w:p>
    <w:p w14:paraId="3B3BD4AE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015AFCE5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harmonogramu prací na reformě systému důchodového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A47CF7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335AC3CF" w14:textId="2A9DC896" w:rsidR="00BB41F5" w:rsidRDefault="00BB41F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731.</w:t>
        </w:r>
      </w:hyperlink>
    </w:p>
    <w:p w14:paraId="3C16A465" w14:textId="77777777" w:rsidR="00BB41F5" w:rsidRDefault="00BB41F5">
      <w:pPr>
        <w:rPr>
          <w:rFonts w:eastAsia="Times New Roman"/>
        </w:rPr>
      </w:pPr>
    </w:p>
    <w:p w14:paraId="4BAD7DC3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19 přítomných členů vlády hlasovalo pro 19.</w:t>
      </w:r>
    </w:p>
    <w:p w14:paraId="59BE7383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Harmonogram dalšího postupu privatizace státních podílů v podnicích s významnou účastí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6241FA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a jeho dodatku předložených ministrem financí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v tomto projednávání bude pokračovat na jednání své schůze dne 18. listopadu 1998 po doplnění předloženého materiálu podle zadání vlády.</w:t>
      </w:r>
    </w:p>
    <w:p w14:paraId="268A0869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18716FE6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postupu privatizace Československé obchodní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DE9688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generálního ředitele a předsedy představenstva akciové společnosti Československá obchodní banka, a.s., projednala materiál předložený ministrem financí a přijala</w:t>
      </w:r>
    </w:p>
    <w:p w14:paraId="4041C04A" w14:textId="12647DB3" w:rsidR="00BB41F5" w:rsidRDefault="00BB41F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732.</w:t>
        </w:r>
      </w:hyperlink>
    </w:p>
    <w:p w14:paraId="357AAB67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13 a proti nikdo.</w:t>
      </w:r>
    </w:p>
    <w:p w14:paraId="3E0E6410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8.a) Schválení návrhu nařízení vlády, kterým se stanoví technické požadavky na výtahy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8.b) Návrh nařízení vlády, kterým se mění nařízení vlády č. 170/1997 Sb., kterým se stanoví technické požadavky na strojní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2184E4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ministrem průmyslu a obchodu přijala</w:t>
      </w:r>
    </w:p>
    <w:p w14:paraId="25F3F8D2" w14:textId="201517F5" w:rsidR="00BB41F5" w:rsidRDefault="00BB41F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733</w:t>
        </w:r>
      </w:hyperlink>
    </w:p>
    <w:p w14:paraId="1B9D4989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vlády, kterým se stanoví technické požadavky na výtahy, nabyde účinnosti dnem 1. dubna 1999 a při zpracovávání jeho konečného znění budou vzaty v úvahu legislativně technické připomínky ministra vnitra.</w:t>
      </w:r>
    </w:p>
    <w:p w14:paraId="7C1ADDEA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18. </w:t>
      </w:r>
    </w:p>
    <w:p w14:paraId="2DC04F59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koncepce a rozpočtu účasti České republiky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5B0CE31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generální komisařky účasti České republiky na Všeobecné světové výstavě EXPO 2000 v Hannoveru projednala návrh předložený ministrem zahraničních věcí a přijala</w:t>
      </w:r>
    </w:p>
    <w:p w14:paraId="2AE304DE" w14:textId="67A14FD5" w:rsidR="00BB41F5" w:rsidRDefault="00BB41F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734.</w:t>
        </w:r>
      </w:hyperlink>
    </w:p>
    <w:p w14:paraId="623E9509" w14:textId="77777777" w:rsidR="00BB41F5" w:rsidRDefault="00BB41F5">
      <w:pPr>
        <w:rPr>
          <w:rFonts w:eastAsia="Times New Roman"/>
        </w:rPr>
      </w:pPr>
    </w:p>
    <w:p w14:paraId="15E852B0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CB8EA4E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Podmínky příspěvku na 5. světovou abilympiádu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0166F0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29D6CC4C" w14:textId="2475C510" w:rsidR="00BB41F5" w:rsidRDefault="00BB41F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735.</w:t>
        </w:r>
      </w:hyperlink>
    </w:p>
    <w:p w14:paraId="3068418C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2AA76BB5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usnesení vlády o změně usnesení vlády z 3. června 1998 č. 390, o dodatečném uvolnění finančních prostředků z rozpočtových rezerv na zabezpečení zdárného průběhu festivalu Europalia 98 Česká republika a o zrušení usnesení vlády České republiky ze dne 10. června 1998 č. 412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DBBC0B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FC9E22A" w14:textId="7CF70F99" w:rsidR="00BB41F5" w:rsidRDefault="00BB41F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736.</w:t>
        </w:r>
      </w:hyperlink>
    </w:p>
    <w:p w14:paraId="0EF63BF4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766B930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usnesení vlády o Metodickém postupu k zamezení úniku informací z materiálů určených pro jednání schůze vlády majících charakter utajované skutečnosti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DB2D18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přijala</w:t>
      </w:r>
    </w:p>
    <w:p w14:paraId="255DD693" w14:textId="208308B1" w:rsidR="00BB41F5" w:rsidRDefault="00BB41F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737.</w:t>
        </w:r>
      </w:hyperlink>
    </w:p>
    <w:p w14:paraId="1BFD8B9D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68E1C114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Bezpečnostní dohody mezi vládou České republiky a Západoevropskou unií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B8FB33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Národního bezpečnostního úřadu projednala návrh předložený předsedou vlády a ministrem zahraničních věcí a přijala</w:t>
      </w:r>
    </w:p>
    <w:p w14:paraId="4E89B2B0" w14:textId="33EABC7C" w:rsidR="00BB41F5" w:rsidRDefault="00BB41F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738.</w:t>
        </w:r>
      </w:hyperlink>
    </w:p>
    <w:p w14:paraId="1398D7A4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9956FEA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T385/98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F34CD6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24D765A4" w14:textId="77777777" w:rsidR="00BB41F5" w:rsidRDefault="00BB41F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D739.</w:t>
      </w:r>
    </w:p>
    <w:p w14:paraId="76630B62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B8A164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Íránské islámské republiky o spolupráci v oblasti zdraví zvířat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145DA8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 a zahraničních věcí a přijala</w:t>
      </w:r>
    </w:p>
    <w:p w14:paraId="6659D82F" w14:textId="6D9CB796" w:rsidR="00BB41F5" w:rsidRDefault="00BB41F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740.</w:t>
        </w:r>
      </w:hyperlink>
    </w:p>
    <w:p w14:paraId="1FC78155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3B94FD4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Íránské islámské republiky o spolupráci v oblasti karantény a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384977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 a zahraničních věcí přijala</w:t>
      </w:r>
    </w:p>
    <w:p w14:paraId="05671EB8" w14:textId="787F14F2" w:rsidR="00BB41F5" w:rsidRDefault="00BB41F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741.</w:t>
        </w:r>
      </w:hyperlink>
    </w:p>
    <w:p w14:paraId="60122D11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457D62B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Změny základních dokumentů Mezinárodní družicové organizace pro pohyblivé služby “INMARSAT”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C0062A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dopravy a spojů a zahraničních věcí a přijala</w:t>
      </w:r>
    </w:p>
    <w:p w14:paraId="69B94B3A" w14:textId="5477B003" w:rsidR="00BB41F5" w:rsidRDefault="00BB41F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742.</w:t>
        </w:r>
      </w:hyperlink>
    </w:p>
    <w:p w14:paraId="0487E556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C75D1FB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návštěvy místopředsedy vlády ČR Pavla Mertlíka v Rakouské republice dne 13.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057DCB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0B7DF71" w14:textId="3D834933" w:rsidR="00BB41F5" w:rsidRDefault="00BB41F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743.</w:t>
        </w:r>
      </w:hyperlink>
    </w:p>
    <w:p w14:paraId="7903ADEA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D33EF3C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francouzského předsedy vlády L. Jospina v České republice ve dnech 18. - 19. listopadu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6D82C6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03EC5B0" w14:textId="5D7FC1D2" w:rsidR="00BB41F5" w:rsidRDefault="00BB41F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744.</w:t>
        </w:r>
      </w:hyperlink>
    </w:p>
    <w:p w14:paraId="4332D02C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68FCA8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Komise vlády ČR pro řešení vztahu státu a církví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B1763F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diskusi projednávání materiálu a jeho dodatku, které předložil ministr kultury p ř e r u š i l a a stanovila další postup.</w:t>
      </w:r>
    </w:p>
    <w:p w14:paraId="38123816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DFE7EBB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Zásady nového statutu Náboženské matice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50A480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materiál předložený ministrem kultury n a v ě d o m í a d o p o r u č i l a ministru kultury upravit statut Náboženské matice v souladu s návrhy přednesenými ministrem kultury na jednání schůze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BC390CE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zbývajícího člena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96DB31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7E63D504" w14:textId="16395F12" w:rsidR="00BB41F5" w:rsidRDefault="00BB41F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745.</w:t>
        </w:r>
      </w:hyperlink>
    </w:p>
    <w:p w14:paraId="56F00213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508C640D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dovolbu členů Prezidia a Dozorčí rady Pozemkového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E715B3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203838BD" w14:textId="113C607F" w:rsidR="00BB41F5" w:rsidRDefault="00BB41F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746.</w:t>
        </w:r>
      </w:hyperlink>
    </w:p>
    <w:p w14:paraId="27E573CB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897F103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zhroucení tuzemského trhu s vepřovým masem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05D7C1" w14:textId="77777777" w:rsidR="00BB41F5" w:rsidRDefault="00BB41F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se s e z n á m i l a s materiálem předloženým ministrem zemědělství. </w:t>
      </w:r>
    </w:p>
    <w:p w14:paraId="4332F4E2" w14:textId="77777777" w:rsidR="00BB41F5" w:rsidRDefault="00BB41F5">
      <w:pPr>
        <w:spacing w:after="240"/>
        <w:rPr>
          <w:rFonts w:eastAsia="Times New Roman"/>
        </w:rPr>
      </w:pPr>
    </w:p>
    <w:p w14:paraId="14E95FEA" w14:textId="77777777" w:rsidR="00BB41F5" w:rsidRDefault="00BB41F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811575E" w14:textId="77777777" w:rsidR="00BB41F5" w:rsidRDefault="00BB41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inflaci - říjen 1998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sbližování právních předpisů ČR s právem ES za III. čtvrtletí 1998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plnění hlavních zásad státní telekomunikační politiky a jejich aktualizace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návštěvě prezidenta ČR v SRN dne 3. října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návštěvě prezidenta ČR v Rakousku dne 12. října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pracovní návštěvě předsedy vlády, místopředsedy vlády pro zahraniční a bezpečnostní politiku a ministra zahraničních věcí ČR v Evropské komisi a v Evropském parlamentu v Bruselu dne 29. září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zahraniční služební cestě ministra kultury Pavla Dostála do Slovenské republiky ve dnech 18. - 19. října 1998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C51964E" w14:textId="77777777" w:rsidR="00BB41F5" w:rsidRDefault="00BB41F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0FFEA0E" w14:textId="77777777" w:rsidR="00BB41F5" w:rsidRDefault="00BB41F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5"/>
    <w:rsid w:val="00B3122F"/>
    <w:rsid w:val="00B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A062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686cb8cfb8b791b6c12566c0003b5c7a%3fOpen&amp;Name=CN=Ghoul\O=ENV\C=CZ&amp;Id=C1256A62004E5036" TargetMode="External"/><Relationship Id="rId18" Type="http://schemas.openxmlformats.org/officeDocument/2006/relationships/hyperlink" Target="file:///c:\redir.nsf%3fRedirect&amp;To=\66bbfabee8e70f37c125642e0052aae5\faa5e029289e7a0dc12566c00032a037%3fOpen&amp;Name=CN=Ghoul\O=ENV\C=CZ&amp;Id=C1256A62004E5036" TargetMode="External"/><Relationship Id="rId26" Type="http://schemas.openxmlformats.org/officeDocument/2006/relationships/hyperlink" Target="file:///c:\redir.nsf%3fRedirect&amp;To=\66bbfabee8e70f37c125642e0052aae5\c02e5939df9e36e9c12566c0003ce690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855c5060fbfc5f6c12566c0003c4ff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52f0238896bfc5dc12566c0003b38c3%3fOpen&amp;Name=CN=Ghoul\O=ENV\C=CZ&amp;Id=C1256A62004E5036" TargetMode="External"/><Relationship Id="rId17" Type="http://schemas.openxmlformats.org/officeDocument/2006/relationships/hyperlink" Target="file:///c:\redir.nsf%3fRedirect&amp;To=\66bbfabee8e70f37c125642e0052aae5\72fd88843affe59ec12566c0003c0ce9%3fOpen&amp;Name=CN=Ghoul\O=ENV\C=CZ&amp;Id=C1256A62004E5036" TargetMode="External"/><Relationship Id="rId25" Type="http://schemas.openxmlformats.org/officeDocument/2006/relationships/hyperlink" Target="file:///c:\redir.nsf%3fRedirect&amp;To=\66bbfabee8e70f37c125642e0052aae5\ce1ed0c863c9445dc12566c0003cc86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a069fac13b1575a8c12566c0003be007%3fOpen&amp;Name=CN=Ghoul\O=ENV\C=CZ&amp;Id=C1256A62004E5036" TargetMode="External"/><Relationship Id="rId20" Type="http://schemas.openxmlformats.org/officeDocument/2006/relationships/hyperlink" Target="file:///c:\redir.nsf%3fRedirect&amp;To=\66bbfabee8e70f37c125642e0052aae5\539ebb6ac8396bb2c12566c0003c30da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18d6d0bfc2213fec12566c00032629e%3fOpen&amp;Name=CN=Ghoul\O=ENV\C=CZ&amp;Id=C1256A62004E5036" TargetMode="External"/><Relationship Id="rId24" Type="http://schemas.openxmlformats.org/officeDocument/2006/relationships/hyperlink" Target="file:///c:\redir.nsf%3fRedirect&amp;To=\66bbfabee8e70f37c125642e0052aae5\06f666e39c09ee64c12566c0003ca8e1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8e2f6ae8dbecfcdc12566c0003bb6c1%3fOpen&amp;Name=CN=Ghoul\O=ENV\C=CZ&amp;Id=C1256A62004E5036" TargetMode="External"/><Relationship Id="rId23" Type="http://schemas.openxmlformats.org/officeDocument/2006/relationships/hyperlink" Target="file:///c:\redir.nsf%3fRedirect&amp;To=\66bbfabee8e70f37c125642e0052aae5\87e9cd3855cd7ebec12566c0003c8942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b4215b8a5226352c12566c00032408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1-11" TargetMode="External"/><Relationship Id="rId14" Type="http://schemas.openxmlformats.org/officeDocument/2006/relationships/hyperlink" Target="file:///c:\redir.nsf%3fRedirect&amp;To=\66bbfabee8e70f37c125642e0052aae5\1fe0c555b6c3ec33c12566c0003b8dec%3fOpen&amp;Name=CN=Ghoul\O=ENV\C=CZ&amp;Id=C1256A62004E5036" TargetMode="External"/><Relationship Id="rId22" Type="http://schemas.openxmlformats.org/officeDocument/2006/relationships/hyperlink" Target="file:///c:\redir.nsf%3fRedirect&amp;To=\66bbfabee8e70f37c125642e0052aae5\e32c47809697de48c12566c0003c6bb6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2268</Words>
  <Characters>12930</Characters>
  <Application>Microsoft Office Word</Application>
  <DocSecurity>0</DocSecurity>
  <Lines>107</Lines>
  <Paragraphs>30</Paragraphs>
  <ScaleCrop>false</ScaleCrop>
  <Company>Profinit EU s.r.o.</Company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