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9AA6F7" w14:textId="77777777" w:rsidR="0075157F" w:rsidRDefault="0075157F">
      <w:pPr>
        <w:pStyle w:val="z-TopofForm"/>
      </w:pPr>
      <w:r>
        <w:t>Top of Form</w:t>
      </w:r>
    </w:p>
    <w:p w14:paraId="29044007" w14:textId="60EAADE0" w:rsidR="0075157F" w:rsidRDefault="0075157F">
      <w:pPr>
        <w:pStyle w:val="Heading5"/>
        <w:divId w:val="4364765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1999-03-17</w:t>
        </w:r>
      </w:hyperlink>
    </w:p>
    <w:p w14:paraId="23190E68" w14:textId="77777777" w:rsidR="0075157F" w:rsidRDefault="0075157F">
      <w:pPr>
        <w:rPr>
          <w:rFonts w:eastAsia="Times New Roman"/>
        </w:rPr>
      </w:pPr>
    </w:p>
    <w:p w14:paraId="134A78A9" w14:textId="77777777" w:rsidR="0075157F" w:rsidRDefault="0075157F">
      <w:pPr>
        <w:divId w:val="42149152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B03ACCF" w14:textId="77777777" w:rsidR="0075157F" w:rsidRDefault="0075157F">
      <w:pPr>
        <w:divId w:val="1586107544"/>
        <w:rPr>
          <w:rFonts w:eastAsia="Times New Roman"/>
        </w:rPr>
      </w:pPr>
      <w:r>
        <w:rPr>
          <w:rFonts w:eastAsia="Times New Roman"/>
        </w:rPr>
        <w:pict w14:anchorId="3F9308A4"/>
      </w:r>
      <w:r>
        <w:rPr>
          <w:rFonts w:eastAsia="Times New Roman"/>
        </w:rPr>
        <w:pict w14:anchorId="06BF49F5"/>
      </w:r>
      <w:r>
        <w:rPr>
          <w:rFonts w:eastAsia="Times New Roman"/>
          <w:noProof/>
        </w:rPr>
        <w:drawing>
          <wp:inline distT="0" distB="0" distL="0" distR="0" wp14:anchorId="7384EF54" wp14:editId="4DDE539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4AA1" w14:textId="77777777" w:rsidR="0075157F" w:rsidRDefault="00751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7713664" w14:textId="77777777">
        <w:trPr>
          <w:tblCellSpacing w:w="0" w:type="dxa"/>
        </w:trPr>
        <w:tc>
          <w:tcPr>
            <w:tcW w:w="2500" w:type="pct"/>
            <w:hideMark/>
          </w:tcPr>
          <w:p w14:paraId="4A80DCA0" w14:textId="77777777" w:rsidR="0075157F" w:rsidRDefault="0075157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2221/99</w:t>
            </w:r>
          </w:p>
        </w:tc>
        <w:tc>
          <w:tcPr>
            <w:tcW w:w="2500" w:type="pct"/>
            <w:hideMark/>
          </w:tcPr>
          <w:p w14:paraId="4C9CD3AB" w14:textId="77777777" w:rsidR="0075157F" w:rsidRDefault="0075157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března 1999</w:t>
            </w:r>
          </w:p>
        </w:tc>
      </w:tr>
    </w:tbl>
    <w:p w14:paraId="0D406A0E" w14:textId="77777777" w:rsidR="0075157F" w:rsidRDefault="0075157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března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7B3158C0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92/1996 Sb., o odrůdách, osivu a sadbě pěstovaných rostlin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F26AA66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963CD37" w14:textId="0C50E167" w:rsidR="0075157F" w:rsidRDefault="0075157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220.</w:t>
        </w:r>
      </w:hyperlink>
    </w:p>
    <w:p w14:paraId="04C49FBC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630A061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zákona, kterým se mění občanský zákoník, některé další zákony, a kterým se upravuje ochrana některých nájmů nebytových prostorů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855BBE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pro místní rozvoj o d l o ž i l a na jednání své schůze dne 7. dubna 1999.</w:t>
      </w:r>
    </w:p>
    <w:p w14:paraId="211D4BD6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Nařízení vlády, kterým se stanoví způsob úhrady nákladů souvisejících s vedením a aktualizací bonitovaných půdně ekologických jednotek a nákladů spojených s oceněním věcí, identifikací parcel a vyměřením pozemků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BF312FA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zemědělství a přijala</w:t>
      </w:r>
    </w:p>
    <w:p w14:paraId="372BF08A" w14:textId="6985E48A" w:rsidR="0075157F" w:rsidRDefault="0075157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221.</w:t>
        </w:r>
      </w:hyperlink>
    </w:p>
    <w:p w14:paraId="2BB7B161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11CA883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Návrhy nařízení vlády, kterými se mění nařízení vlády č. 173/1997 Sb., kterým se stanoví vybrané výrobky k posuzování shody ve znění nařízení vlády č. 174/1998 Sb., nařízení vlády č. 174/1997 Sb., kterým se stanoví technické požadavky na střelné zbraně a střelivo, nařízení vlády č. 175/1997 Sb., kterým se stanoví technické požadavky na jednoduché tlakové nádoby a nařízení vlády č. 178/1997 Sb., kterým se stanoví technické požadavky na stavební výrobky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 </w:t>
      </w:r>
    </w:p>
    <w:p w14:paraId="03796E01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návrhy předložené ministrem průmyslu a obchodu a přijala</w:t>
      </w:r>
    </w:p>
    <w:p w14:paraId="647DC99E" w14:textId="6ABE0914" w:rsidR="0075157F" w:rsidRDefault="0075157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222.</w:t>
        </w:r>
      </w:hyperlink>
    </w:p>
    <w:p w14:paraId="48ACA783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2A322C2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Jaroslava Štraita a dalších na vydání zákona, kterým se mění a doplňuje zákon č. 65/1965 Sb., zákoník práce, ve znění pozdějších předpisů a zákon č. 1/1991 Sb., o zaměstnanosti, ve znění pozdějších předpisů (tisk č. 131)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77941F8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1E4AA9A" w14:textId="376FF11A" w:rsidR="0075157F" w:rsidRDefault="0075157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223.</w:t>
        </w:r>
      </w:hyperlink>
    </w:p>
    <w:p w14:paraId="2C7191D1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1BF3B76D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Kontrolní závěr Nejvyššího kontrolního úřadu z kontrolní akce 97/27 - Hospodaření České správy sociálního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FD0826C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v z a l a n a v ě d o m í kontrolní závěr Nejvyššího kontrolního úřadu z kontrolní akce 97/27 - Hospodaření České správy sociálního zabezpečení a stanovisko Ministerstva práce a sociálních věcí k tomuto kontrolnímu závěru.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D28616C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Závěr z kontroly Nejvyššího kontrolního úřadu č. 98/10 “Prostředky státního rozpočtu a majetek státu, ke kterému vykonává státní organizace České dráhy právo hospodaření”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12E2D34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6388C382" w14:textId="62DB98CF" w:rsidR="0075157F" w:rsidRDefault="0075157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224.</w:t>
        </w:r>
      </w:hyperlink>
    </w:p>
    <w:p w14:paraId="10C14519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1847A1D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Kontrola NKÚ - “Prostředky státního rozpočtu určené na Program obnovy vesnice”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4DA6EB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v z a l a n a v ě d o m í kontrolní závěr Nejvyššího kontrolního úřadu č. 98/13 z kontroly “Prostředky státního rozpočtu určené na Program obnovy vesnice” a předkládací zprávu předloženého materiálu.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8094CED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postupu uzavírání problematiky využití majetku a majetkových práv bývalé KSČ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D90BD8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pro místní rozvoj p ř e r u š i l a s tím, že návrh projedná na jednání své schůze dne 29. března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CA83EF3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Schválení výjimky ze Zásad pro poskytování dotací ze státního rozpočtu ČR občanským sdružením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83D62F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15BC7DC0" w14:textId="6F5DAE33" w:rsidR="0075157F" w:rsidRDefault="0075157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225.</w:t>
        </w:r>
      </w:hyperlink>
    </w:p>
    <w:p w14:paraId="7B30FCD2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1600ED5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Úprava předsednictva Vládního výboru pro zdravotně postižené občany a jeho statutu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D25D5AB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předsedou Vládního výboru pro zdravotně postižené občany a přijala</w:t>
      </w:r>
    </w:p>
    <w:p w14:paraId="2F830E96" w14:textId="430ACB3D" w:rsidR="0075157F" w:rsidRDefault="0075157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226.</w:t>
        </w:r>
      </w:hyperlink>
    </w:p>
    <w:p w14:paraId="51D367EF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64714B1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výsledcích ministerské konference OECD o elektronickém obchodě a návrh opatření pro podporu rozvoje elektronického obchodu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F18E1C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bez portfeje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Informaci o ministerské konferenci OECD o elektronickém obchodě, konané v Ottawě ve dnech 7. až 9. října 1998, obsaženou v části III předloženého materiálu,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pro hospodářskou politiku předložit vládě materiál, který bude obsahovat návrh opatření pro podporu rozvoje elektronického obchodu v České republice.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0E5B0C5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Dohody mezi vládou České republiky a vládou Italské republiky o spolupráci v boji proti terorizmu, organizovanému zločinu a nedovolenému obchodu s omamnými a psychotropními látkami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6BB654A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 a zahraničních věcí a přijala</w:t>
      </w:r>
    </w:p>
    <w:p w14:paraId="2E2974B1" w14:textId="019234A6" w:rsidR="0075157F" w:rsidRDefault="0075157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227.</w:t>
        </w:r>
      </w:hyperlink>
    </w:p>
    <w:p w14:paraId="076E759C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3A283D7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přijetí Čtvrtého dodatku k Dohodě o Mezinárodním měnovém fondu (zvláštní jednorázová alokace - SDR)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A8A259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guvernérem České národní banky a přijala</w:t>
      </w:r>
    </w:p>
    <w:p w14:paraId="6C6928F7" w14:textId="704BB4F8" w:rsidR="0075157F" w:rsidRDefault="0075157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228.</w:t>
        </w:r>
      </w:hyperlink>
    </w:p>
    <w:p w14:paraId="195576A8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EB5C64C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obnovení činnosti velvyslanectví ČR v Mongolsku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E854573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9C61FB8" w14:textId="1B29A535" w:rsidR="0075157F" w:rsidRDefault="0075157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229.</w:t>
        </w:r>
      </w:hyperlink>
    </w:p>
    <w:p w14:paraId="40BBD8F8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17F7724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sjednání Dohody mezi vládou České republiky a vládou Argentinské republiky o zrušení vízové povinnosti pro držitele národních cestovních pasů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0A59C7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222D587" w14:textId="2318C1C2" w:rsidR="0075157F" w:rsidRDefault="0075157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230.</w:t>
        </w:r>
      </w:hyperlink>
    </w:p>
    <w:p w14:paraId="7D665DCA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B290A5A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oficiální návštěvy předsedy vlády Portugalska Antónia Guterrese v České republice ve dnech 28. - 29. března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07EF995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239AFA2" w14:textId="60EC0D8E" w:rsidR="0075157F" w:rsidRDefault="0075157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231.</w:t>
        </w:r>
      </w:hyperlink>
    </w:p>
    <w:p w14:paraId="6A139FE8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DEA811E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Žádost o udělení výjimky podle § 45 odst. 1 a 2 platného znění zákona č. 92/1991 Sb., o podmínkách převodu majetku státu na jiné osoby, pro státní podnik České energetické závody, Praha, který zůstal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8681CB5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Žádost předložená ministrem průmyslu a obchodu byla stažena z jednání.</w:t>
      </w:r>
    </w:p>
    <w:p w14:paraId="4D225087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udělení výjimky podle § 45 odst. 1 a 2 platného znění zákona č. 92/1991 Sb., o podmínkách převodu majetku státu na jiné osoby, pro státní podnik České lupkové a uhelné závody, Nové Strašecí, který zůstal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8781FCA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73684C91" w14:textId="0FBE662A" w:rsidR="0075157F" w:rsidRDefault="0075157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232.</w:t>
        </w:r>
      </w:hyperlink>
    </w:p>
    <w:p w14:paraId="034E3BC2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B57364C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BCB03FE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0664CD91" w14:textId="267821C0" w:rsidR="0075157F" w:rsidRDefault="0075157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233.</w:t>
        </w:r>
      </w:hyperlink>
    </w:p>
    <w:p w14:paraId="642EE02E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755B40DD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odvolání člena Rady vlády pro výzkum a vývoj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8D45DAA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hospodářskou politiku a přijala</w:t>
      </w:r>
    </w:p>
    <w:p w14:paraId="161A1482" w14:textId="1B604D20" w:rsidR="0075157F" w:rsidRDefault="0075157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234.</w:t>
        </w:r>
      </w:hyperlink>
    </w:p>
    <w:p w14:paraId="0191793A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4E449D0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Ústní návrh na změnu usnesení vlády ze 17. února 1999 č. 126 k návrhu zákona, kterým se mění zákon č. 40/1993 Sb., o nabývání a pozbývání státního občanství České republiky, ve znění pozdějších předpisů, a č. 127 k návrhu zákona o státním občanství některých bývalých státních občanů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F07CB2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místopředsedy vlády a ministra práce a sociálních věcí přijala</w:t>
      </w:r>
    </w:p>
    <w:p w14:paraId="18EC6639" w14:textId="28868666" w:rsidR="0075157F" w:rsidRDefault="0075157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235.</w:t>
        </w:r>
      </w:hyperlink>
    </w:p>
    <w:p w14:paraId="401A5CF8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E6D5BC7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konkrétní náplni akcí vybraných k realizaci v rámci Mezinárodního roku seniorů v ČR a jejich finančním zajištění v rámci rozpočtové kapitoly Ministerstva práce a sociálních věcí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466B849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financí Ing. Z. Petříčka u l o ž i l a 1. místopředsedovi vlády a ministru práce a sociálních věcí provést k předloženému materiálu zúžené připomínkové řízení.</w:t>
      </w:r>
    </w:p>
    <w:p w14:paraId="03B89DF1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o zařazení Zprávy vlády o přípravě ustavení vyšších územně samosprávných celků do návrhu pořadu 10. schůze Poslanecké sněmovny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8FDCB9" w14:textId="77777777" w:rsidR="0075157F" w:rsidRDefault="0075157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náměstka ministra vnitra JUDr. P. Zářeckého, CSc., týkající se zařazení Zprávy vlády o přípravě ustavení vyšších územně samosprávných celků do návrhu pořadu 10. schůze Poslanecké sněmovny Parlamentu České republiky a p o v ě ř i l a místopředsedu vlády pro zahraniční a bezpečnostní politiku v případě jeho schválení přednést uvedenou zprávu v Poslanecké sněmovně Parlamentu České republiky.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16138B90" w14:textId="77777777" w:rsidR="0075157F" w:rsidRDefault="00751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6DDCB70" w14:textId="77777777" w:rsidR="0075157F" w:rsidRDefault="0075157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5D23D0A" w14:textId="77777777" w:rsidR="0075157F" w:rsidRDefault="0075157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Výroční zpráva Nejvyššího kontrolního úřadu za rok 1998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Změny plánu kontrolní činnosti NKÚ na rok 1998 a na rok 1999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posouzení podnětů vlády Kolegiem Nejvyššího kontrolního úřadu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Přehled mezinárodních smluv z oblasti působnosti Ministerstva průmyslu a obchodu, sjednaných v roce 1998 podle článk</w:t>
      </w:r>
      <w:r>
        <w:rPr>
          <w:rFonts w:ascii="Times New Roman CE" w:eastAsia="Times New Roman" w:hAnsi="Times New Roman CE" w:cs="Times New Roman CE"/>
          <w:sz w:val="27"/>
          <w:szCs w:val="27"/>
        </w:rPr>
        <w:t>u 13 Směrnice vlády ČR pro sjednávání, vnitrostátní projednávání, provádění a vypovídání mezinárodních smluv, schválené jejím usnesením ze dne 16. 6. 1993 č. 328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Dvacátého zasedání Řídící rady Programu Organizace spojených národů pro životní prostředí (UNEP)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setkání premiérů ČR M. Zemana a PR J. Buzka v Ostravě dne 19. února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  <w:r>
        <w:rPr>
          <w:rFonts w:eastAsia="Times New Roman"/>
        </w:rPr>
        <w:t xml:space="preserve"> </w:t>
      </w:r>
    </w:p>
    <w:p w14:paraId="6D7C68B2" w14:textId="77777777" w:rsidR="0075157F" w:rsidRDefault="0075157F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58C95A1E" w14:textId="77777777" w:rsidR="0075157F" w:rsidRDefault="0075157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F"/>
    <w:rsid w:val="0075157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9781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5221dc422d39a4ebc12567630030857e%3fOpen&amp;Name=CN=Ghoul\O=ENV\C=CZ&amp;Id=C1256A62004E5036" TargetMode="External"/><Relationship Id="rId18" Type="http://schemas.openxmlformats.org/officeDocument/2006/relationships/hyperlink" Target="file:///c:\redir.nsf%3fRedirect&amp;To=\66bbfabee8e70f37c125642e0052aae5\bc3cab8fb48d5395c125676300312521%3fOpen&amp;Name=CN=Ghoul\O=ENV\C=CZ&amp;Id=C1256A62004E5036" TargetMode="External"/><Relationship Id="rId26" Type="http://schemas.openxmlformats.org/officeDocument/2006/relationships/hyperlink" Target="file:///c:\redir.nsf%3fRedirect&amp;To=\66bbfabee8e70f37c125642e0052aae5\fac6d2d480a369e9c12567630031f0cd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df565073679230b5c125676300317552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6cbddc92dc9d8937c125676300306c9e%3fOpen&amp;Name=CN=Ghoul\O=ENV\C=CZ&amp;Id=C1256A62004E5036" TargetMode="External"/><Relationship Id="rId17" Type="http://schemas.openxmlformats.org/officeDocument/2006/relationships/hyperlink" Target="file:///c:\redir.nsf%3fRedirect&amp;To=\66bbfabee8e70f37c125642e0052aae5\3473d56582dac6b1c12567630030eb14%3fOpen&amp;Name=CN=Ghoul\O=ENV\C=CZ&amp;Id=C1256A62004E5036" TargetMode="External"/><Relationship Id="rId25" Type="http://schemas.openxmlformats.org/officeDocument/2006/relationships/hyperlink" Target="file:///c:\redir.nsf%3fRedirect&amp;To=\66bbfabee8e70f37c125642e0052aae5\4d75d9128c16a646c12567630031daa5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22cf34c1855486d4c12567630030d69a%3fOpen&amp;Name=CN=Ghoul\O=ENV\C=CZ&amp;Id=C1256A62004E5036" TargetMode="External"/><Relationship Id="rId20" Type="http://schemas.openxmlformats.org/officeDocument/2006/relationships/hyperlink" Target="file:///c:\redir.nsf%3fRedirect&amp;To=\66bbfabee8e70f37c125642e0052aae5\1b8aa43ba9d21afdc125676300316302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014f5294e768168cc1256763002cf867%3fOpen&amp;Name=CN=Ghoul\O=ENV\C=CZ&amp;Id=C1256A62004E5036" TargetMode="External"/><Relationship Id="rId24" Type="http://schemas.openxmlformats.org/officeDocument/2006/relationships/hyperlink" Target="file:///c:\redir.nsf%3fRedirect&amp;To=\66bbfabee8e70f37c125642e0052aae5\71824df58eab8dbac12567630031b211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c3528ea13fd95ca7c12567630030bef8%3fOpen&amp;Name=CN=Ghoul\O=ENV\C=CZ&amp;Id=C1256A62004E5036" TargetMode="External"/><Relationship Id="rId23" Type="http://schemas.openxmlformats.org/officeDocument/2006/relationships/hyperlink" Target="file:///c:\redir.nsf%3fRedirect&amp;To=\66bbfabee8e70f37c125642e0052aae5\7518316635627aecc125676300319e52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b5d574cc146e8e5c125676300313c47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3-17" TargetMode="External"/><Relationship Id="rId14" Type="http://schemas.openxmlformats.org/officeDocument/2006/relationships/hyperlink" Target="file:///c:\redir.nsf%3fRedirect&amp;To=\66bbfabee8e70f37c125642e0052aae5\af9124d28e591d5bc125676300309ce6%3fOpen&amp;Name=CN=Ghoul\O=ENV\C=CZ&amp;Id=C1256A62004E5036" TargetMode="External"/><Relationship Id="rId22" Type="http://schemas.openxmlformats.org/officeDocument/2006/relationships/hyperlink" Target="file:///c:\redir.nsf%3fRedirect&amp;To=\66bbfabee8e70f37c125642e0052aae5\a705e00bd6e43172c125676300318abf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2384</Words>
  <Characters>13592</Characters>
  <Application>Microsoft Office Word</Application>
  <DocSecurity>0</DocSecurity>
  <Lines>113</Lines>
  <Paragraphs>31</Paragraphs>
  <ScaleCrop>false</ScaleCrop>
  <Company>Profinit EU s.r.o.</Company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