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88CD7E6" w14:textId="77777777" w:rsidR="008A08DE" w:rsidRDefault="008A08DE">
      <w:pPr>
        <w:pStyle w:val="z-TopofForm"/>
      </w:pPr>
      <w:r>
        <w:t>Top of Form</w:t>
      </w:r>
    </w:p>
    <w:p w14:paraId="2E437084" w14:textId="26D5CAF4" w:rsidR="008A08DE" w:rsidRDefault="008A08DE">
      <w:pPr>
        <w:pStyle w:val="Heading5"/>
        <w:divId w:val="191608996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1999-04-27</w:t>
        </w:r>
      </w:hyperlink>
    </w:p>
    <w:p w14:paraId="6C40493F" w14:textId="77777777" w:rsidR="008A08DE" w:rsidRDefault="008A08DE">
      <w:pPr>
        <w:rPr>
          <w:rFonts w:eastAsia="Times New Roman"/>
        </w:rPr>
      </w:pPr>
    </w:p>
    <w:p w14:paraId="7946F928" w14:textId="77777777" w:rsidR="008A08DE" w:rsidRDefault="008A08DE">
      <w:pPr>
        <w:divId w:val="152556065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2D17CBA" w14:textId="77777777" w:rsidR="008A08DE" w:rsidRDefault="008A08DE">
      <w:pPr>
        <w:divId w:val="481433976"/>
        <w:rPr>
          <w:rFonts w:eastAsia="Times New Roman"/>
        </w:rPr>
      </w:pPr>
      <w:r>
        <w:rPr>
          <w:rFonts w:eastAsia="Times New Roman"/>
        </w:rPr>
        <w:pict w14:anchorId="2B62E1E3"/>
      </w:r>
      <w:r>
        <w:rPr>
          <w:rFonts w:eastAsia="Times New Roman"/>
        </w:rPr>
        <w:pict w14:anchorId="0B80934A"/>
      </w:r>
      <w:r>
        <w:rPr>
          <w:rFonts w:eastAsia="Times New Roman"/>
          <w:noProof/>
        </w:rPr>
        <w:drawing>
          <wp:inline distT="0" distB="0" distL="0" distR="0" wp14:anchorId="5E9F3ED8" wp14:editId="1E3AD0D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AB587" w14:textId="77777777" w:rsidR="008A08DE" w:rsidRDefault="008A08D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715B3A9" w14:textId="77777777">
        <w:trPr>
          <w:tblCellSpacing w:w="0" w:type="dxa"/>
        </w:trPr>
        <w:tc>
          <w:tcPr>
            <w:tcW w:w="2500" w:type="pct"/>
            <w:hideMark/>
          </w:tcPr>
          <w:p w14:paraId="1502BA3D" w14:textId="77777777" w:rsidR="008A08DE" w:rsidRDefault="008A08D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2237/99</w:t>
            </w:r>
          </w:p>
        </w:tc>
        <w:tc>
          <w:tcPr>
            <w:tcW w:w="2500" w:type="pct"/>
            <w:hideMark/>
          </w:tcPr>
          <w:p w14:paraId="24AF607F" w14:textId="77777777" w:rsidR="008A08DE" w:rsidRDefault="008A08D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27. dubna 1999</w:t>
            </w:r>
          </w:p>
        </w:tc>
      </w:tr>
    </w:tbl>
    <w:p w14:paraId="169A5E32" w14:textId="77777777" w:rsidR="008A08DE" w:rsidRDefault="008A08D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27. dubna 1999 ve státním zámku Koloděje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(17. schůze)</w:t>
      </w:r>
    </w:p>
    <w:p w14:paraId="3B1C6B1F" w14:textId="77777777" w:rsidR="008A08DE" w:rsidRDefault="008A08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Střednědobý výhled státního rozpočtu v perspektivě do roku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C465EA0" w14:textId="77777777" w:rsidR="008A08DE" w:rsidRDefault="008A08D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v diskusi materiál předložený ministrem financí a přijala</w:t>
      </w:r>
    </w:p>
    <w:p w14:paraId="42A8FC36" w14:textId="0CF60F39" w:rsidR="008A08DE" w:rsidRDefault="008A08DE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382.</w:t>
        </w:r>
      </w:hyperlink>
    </w:p>
    <w:p w14:paraId="67E08685" w14:textId="77777777" w:rsidR="008A08DE" w:rsidRDefault="008A08DE">
      <w:pPr>
        <w:ind w:left="216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2B959387" w14:textId="77777777" w:rsidR="008A08DE" w:rsidRDefault="008A08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Dlouhodobá měnová strategie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4497B82" w14:textId="77777777" w:rsidR="008A08DE" w:rsidRDefault="008A08D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guvernérem České národní banky a přijala</w:t>
      </w:r>
    </w:p>
    <w:p w14:paraId="3213FF6C" w14:textId="67D78E40" w:rsidR="008A08DE" w:rsidRDefault="008A08DE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383.</w:t>
        </w:r>
      </w:hyperlink>
    </w:p>
    <w:p w14:paraId="443A99DE" w14:textId="77777777" w:rsidR="008A08DE" w:rsidRDefault="008A08D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172DA601" w14:textId="77777777" w:rsidR="008A08DE" w:rsidRDefault="008A08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3.a) Koncepce resortní politiky Ministerstva zemědělství na období před vstupem ČR do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3.b) Agenda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D462B5C" w14:textId="77777777" w:rsidR="008A08DE" w:rsidRDefault="008A08D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 přijala</w:t>
      </w:r>
    </w:p>
    <w:p w14:paraId="17FA4EB4" w14:textId="59434CAC" w:rsidR="008A08DE" w:rsidRDefault="008A08DE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384</w:t>
        </w:r>
      </w:hyperlink>
    </w:p>
    <w:p w14:paraId="78AA008A" w14:textId="77777777" w:rsidR="008A08DE" w:rsidRDefault="008A08D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materiál bude upraven podle připomínky 1. místopředsedy vlády a ministra práce a sociálních věcí a náměstka ministra zahraničních věcí JUDr. P. Teličky.</w:t>
      </w:r>
    </w:p>
    <w:p w14:paraId="2CE3B455" w14:textId="77777777" w:rsidR="008A08DE" w:rsidRDefault="008A08D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11 a proti 1. </w:t>
      </w:r>
    </w:p>
    <w:p w14:paraId="3689E0A5" w14:textId="77777777" w:rsidR="008A08DE" w:rsidRDefault="008A08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Střednědobé strategie sektoru dopravy, telekomunikací a pošty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27BE385" w14:textId="77777777" w:rsidR="008A08DE" w:rsidRDefault="008A08D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45D44D64" w14:textId="72FB8BBA" w:rsidR="008A08DE" w:rsidRDefault="008A08DE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385</w:t>
        </w:r>
      </w:hyperlink>
    </w:p>
    <w:p w14:paraId="7CA9DAA1" w14:textId="77777777" w:rsidR="008A08DE" w:rsidRDefault="008A08D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připomínky předsedy Českého statistického úřadu a budou vzaty v úvahu připomínky 1. náměstka ministra financí JUDr. Ing. M. Fiedlera.</w:t>
      </w:r>
    </w:p>
    <w:p w14:paraId="1B354282" w14:textId="77777777" w:rsidR="008A08DE" w:rsidRDefault="008A08D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11 a proti 1. </w:t>
      </w:r>
    </w:p>
    <w:p w14:paraId="65453DFB" w14:textId="77777777" w:rsidR="008A08DE" w:rsidRDefault="008A08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koncepce průmyslové politiky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C67AE56" w14:textId="77777777" w:rsidR="008A08DE" w:rsidRDefault="008A08D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2097DF27" w14:textId="75BE3411" w:rsidR="008A08DE" w:rsidRDefault="008A08DE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386</w:t>
        </w:r>
      </w:hyperlink>
    </w:p>
    <w:p w14:paraId="7D58A0B3" w14:textId="77777777" w:rsidR="008A08DE" w:rsidRDefault="008A08D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návrh bude upraven podle připomínky ministra pro místní rozvoj, viceguvernéra České národní banky doc. Ing. Z.Tůmy, CSc. a budou vzaty v úvahu připomínky ministra zemědělství a náměstka ministra zahraničních věcí JUDr. P. Teličky. </w:t>
      </w:r>
    </w:p>
    <w:p w14:paraId="4C19E272" w14:textId="77777777" w:rsidR="008A08DE" w:rsidRDefault="008A08D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11 a proti nikdo. </w:t>
      </w:r>
    </w:p>
    <w:p w14:paraId="18110D27" w14:textId="77777777" w:rsidR="008A08DE" w:rsidRDefault="008A08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střednědobé hospodářské politiky MPO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1324D8F" w14:textId="77777777" w:rsidR="008A08DE" w:rsidRDefault="008A08D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61D65039" w14:textId="6480BFF3" w:rsidR="008A08DE" w:rsidRDefault="008A08DE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387</w:t>
        </w:r>
      </w:hyperlink>
    </w:p>
    <w:p w14:paraId="75D07C69" w14:textId="77777777" w:rsidR="008A08DE" w:rsidRDefault="008A08D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v názvu materiálu bude nahrazeno slovo “hospodářské” slovem “resortní”.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5A41C2F3" w14:textId="77777777" w:rsidR="008A08DE" w:rsidRDefault="008A08DE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Akční program k posílení konkurenceschopnosti průmyslu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7E0D964" w14:textId="77777777" w:rsidR="008A08DE" w:rsidRDefault="008A08D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7800A77E" w14:textId="40A8CAEB" w:rsidR="008A08DE" w:rsidRDefault="008A08DE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388</w:t>
        </w:r>
      </w:hyperlink>
    </w:p>
    <w:p w14:paraId="4C2688A1" w14:textId="77777777" w:rsidR="008A08DE" w:rsidRDefault="008A08D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materiál bude doplněn podle připomínky předsedy vlády a bude vzata v úvahu připomínka ministra pro místní rozvoj a 1. náměstka ministra financí JUDr. Ing. M. Fiedlera.</w:t>
      </w:r>
    </w:p>
    <w:p w14:paraId="7D546C11" w14:textId="77777777" w:rsidR="008A08DE" w:rsidRDefault="008A08D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2AC2B160" w14:textId="77777777" w:rsidR="008A08DE" w:rsidRDefault="008A08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 Podporu vývozu poskytováním dlouhodobých vládních úvěrů za výhodných podmínek pro jednotlivé vývozní projekty v souladu s Konsensem OECD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A1B8A9E" w14:textId="77777777" w:rsidR="008A08DE" w:rsidRDefault="008A08D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5DA18199" w14:textId="5ED9DA70" w:rsidR="008A08DE" w:rsidRDefault="008A08DE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389</w:t>
        </w:r>
      </w:hyperlink>
    </w:p>
    <w:p w14:paraId="17F5BF40" w14:textId="77777777" w:rsidR="008A08DE" w:rsidRDefault="008A08D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upřesněn podle připomínek místopředsedy vlády a předsedy Legislativní rady vlády.</w:t>
      </w:r>
    </w:p>
    <w:p w14:paraId="49B6A69B" w14:textId="77777777" w:rsidR="008A08DE" w:rsidRDefault="008A08D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7F227686" w14:textId="77777777" w:rsidR="008A08DE" w:rsidRDefault="008A08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9.a) Návrh energetické politiky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9.b) Příloha k návrhu Energetické politiky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Náprava cenové a tarifní struktury elektřiny a plynu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829FA4C" w14:textId="77777777" w:rsidR="008A08DE" w:rsidRDefault="008A08D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materiálu předloženého ministrem průmyslu a obchodu (9.a) p ř e r u š i l a do doby rozhodnutí vlády o jaderné elektrárně Temelín a u l o ž i l a </w:t>
      </w:r>
      <w:r>
        <w:rPr>
          <w:rFonts w:ascii="Times New Roman CE" w:eastAsia="Times New Roman" w:hAnsi="Times New Roman CE" w:cs="Times New Roman CE"/>
          <w:sz w:val="27"/>
          <w:szCs w:val="27"/>
        </w:rPr>
        <w:t>ministru průmyslu a obchodu materiál dopracovat podle připomínek vlády a zahrnout výsledky připomínkového řízení.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2D742D1F" w14:textId="77777777" w:rsidR="008A08DE" w:rsidRDefault="008A08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stavu vývozu a jeho podpory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CF3CD3C" w14:textId="77777777" w:rsidR="008A08DE" w:rsidRDefault="008A08D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průmyslu a obchodu a přijala</w:t>
      </w:r>
    </w:p>
    <w:p w14:paraId="101561DF" w14:textId="1C580257" w:rsidR="008A08DE" w:rsidRDefault="008A08DE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390</w:t>
        </w:r>
      </w:hyperlink>
    </w:p>
    <w:p w14:paraId="1F587125" w14:textId="77777777" w:rsidR="008A08DE" w:rsidRDefault="008A08D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informace bude upravena podle připomínek 1. náměstka ministra financí JUDr. Ing. M. Fiedlera.</w:t>
      </w:r>
    </w:p>
    <w:p w14:paraId="1EF956B6" w14:textId="77777777" w:rsidR="008A08DE" w:rsidRDefault="008A08D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10 a proti nikdo. </w:t>
      </w:r>
    </w:p>
    <w:p w14:paraId="5E80356B" w14:textId="77777777" w:rsidR="008A08DE" w:rsidRDefault="008A08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Proexportní politika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78E37A3" w14:textId="77777777" w:rsidR="008A08DE" w:rsidRDefault="008A08D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25F96C64" w14:textId="27ABCBF2" w:rsidR="008A08DE" w:rsidRDefault="008A08DE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391.</w:t>
        </w:r>
      </w:hyperlink>
    </w:p>
    <w:p w14:paraId="6CBFFBB0" w14:textId="77777777" w:rsidR="008A08DE" w:rsidRDefault="008A08D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1C277418" w14:textId="77777777" w:rsidR="008A08DE" w:rsidRDefault="008A08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309D7896" w14:textId="77777777" w:rsidR="008A08DE" w:rsidRDefault="008A08DE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 Zapsala: JUDr. Hana Hanusová</w:t>
      </w:r>
    </w:p>
    <w:p w14:paraId="2427F15A" w14:textId="77777777" w:rsidR="008A08DE" w:rsidRDefault="008A08D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DE"/>
    <w:rsid w:val="008A08DE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6B425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433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9" TargetMode="External"/><Relationship Id="rId13" Type="http://schemas.openxmlformats.org/officeDocument/2006/relationships/hyperlink" Target="file:///c:\redir.nsf%3fRedirect&amp;To=\66bbfabee8e70f37c125642e0052aae5\fdcb2208026961d7c125676800384e17%3fOpen&amp;Name=CN=Ghoul\O=ENV\C=CZ&amp;Id=C1256A62004E5036" TargetMode="External"/><Relationship Id="rId18" Type="http://schemas.openxmlformats.org/officeDocument/2006/relationships/hyperlink" Target="file:///c:\redir.nsf%3fRedirect&amp;To=\66bbfabee8e70f37c125642e0052aae5\2f26b4fd1df9cddac125676d002319f7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f0c2a0cc464edd2ec125676d0022988c%3fOpen&amp;Name=CN=Ghoul\O=ENV\C=CZ&amp;Id=C1256A62004E5036" TargetMode="External"/><Relationship Id="rId17" Type="http://schemas.openxmlformats.org/officeDocument/2006/relationships/hyperlink" Target="file:///c:\redir.nsf%3fRedirect&amp;To=\66bbfabee8e70f37c125642e0052aae5\b165b04bd9c5e49fc125676d0022fee1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07e6354b87ed859cc125676d0022e3c6%3fOpen&amp;Name=CN=Ghoul\O=ENV\C=CZ&amp;Id=C1256A62004E5036" TargetMode="External"/><Relationship Id="rId20" Type="http://schemas.openxmlformats.org/officeDocument/2006/relationships/hyperlink" Target="file:///c:\redir.nsf%3fRedirect&amp;To=\66bbfabee8e70f37c125642e0052aae5\cbd9eb42b9203941c125676d0023506e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aa025ef593d6ae76c125676800372352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5c31b2a4ed812709c125676800418ba3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75ac49567b1359b7c125676d002337c1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4-27" TargetMode="External"/><Relationship Id="rId14" Type="http://schemas.openxmlformats.org/officeDocument/2006/relationships/hyperlink" Target="file:///c:\redir.nsf%3fRedirect&amp;To=\66bbfabee8e70f37c125642e0052aae5\3f926556d619f6d4c12567680038ac86%3fOpen&amp;Name=CN=Ghoul\O=ENV\C=CZ&amp;Id=C1256A62004E503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1094</Words>
  <Characters>6239</Characters>
  <Application>Microsoft Office Word</Application>
  <DocSecurity>0</DocSecurity>
  <Lines>51</Lines>
  <Paragraphs>14</Paragraphs>
  <ScaleCrop>false</ScaleCrop>
  <Company>Profinit EU s.r.o.</Company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