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896F25" w14:textId="77777777" w:rsidR="007C382B" w:rsidRDefault="007C382B">
      <w:pPr>
        <w:pStyle w:val="z-TopofForm"/>
      </w:pPr>
      <w:r>
        <w:t>Top of Form</w:t>
      </w:r>
    </w:p>
    <w:p w14:paraId="617995D0" w14:textId="790A368F" w:rsidR="007C382B" w:rsidRDefault="007C382B">
      <w:pPr>
        <w:pStyle w:val="Heading5"/>
        <w:divId w:val="8408978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1999-05-12</w:t>
        </w:r>
      </w:hyperlink>
    </w:p>
    <w:p w14:paraId="10752F52" w14:textId="77777777" w:rsidR="007C382B" w:rsidRDefault="007C382B">
      <w:pPr>
        <w:rPr>
          <w:rFonts w:eastAsia="Times New Roman"/>
        </w:rPr>
      </w:pPr>
    </w:p>
    <w:p w14:paraId="7AA51FB2" w14:textId="77777777" w:rsidR="007C382B" w:rsidRDefault="007C382B">
      <w:pPr>
        <w:divId w:val="3836784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BDF7BC" w14:textId="77777777" w:rsidR="007C382B" w:rsidRDefault="007C382B">
      <w:pPr>
        <w:divId w:val="82724993"/>
        <w:rPr>
          <w:rFonts w:eastAsia="Times New Roman"/>
        </w:rPr>
      </w:pPr>
      <w:r>
        <w:rPr>
          <w:rFonts w:eastAsia="Times New Roman"/>
        </w:rPr>
        <w:pict w14:anchorId="4EB65C86"/>
      </w:r>
      <w:r>
        <w:rPr>
          <w:rFonts w:eastAsia="Times New Roman"/>
        </w:rPr>
        <w:pict w14:anchorId="45085174"/>
      </w:r>
      <w:r>
        <w:rPr>
          <w:rFonts w:eastAsia="Times New Roman"/>
          <w:noProof/>
        </w:rPr>
        <w:drawing>
          <wp:inline distT="0" distB="0" distL="0" distR="0" wp14:anchorId="6B29A1A2" wp14:editId="372AC38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BBBE" w14:textId="77777777" w:rsidR="007C382B" w:rsidRDefault="007C38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49FCAC3" w14:textId="77777777">
        <w:trPr>
          <w:tblCellSpacing w:w="0" w:type="dxa"/>
        </w:trPr>
        <w:tc>
          <w:tcPr>
            <w:tcW w:w="2500" w:type="pct"/>
            <w:hideMark/>
          </w:tcPr>
          <w:p w14:paraId="6F9036B2" w14:textId="77777777" w:rsidR="007C382B" w:rsidRDefault="007C382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2247/99 </w:t>
            </w:r>
          </w:p>
        </w:tc>
        <w:tc>
          <w:tcPr>
            <w:tcW w:w="2500" w:type="pct"/>
            <w:hideMark/>
          </w:tcPr>
          <w:p w14:paraId="0A8F403B" w14:textId="77777777" w:rsidR="007C382B" w:rsidRDefault="007C382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května 1999</w:t>
            </w:r>
          </w:p>
        </w:tc>
      </w:tr>
    </w:tbl>
    <w:p w14:paraId="71325E93" w14:textId="77777777" w:rsidR="007C382B" w:rsidRDefault="007C382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května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34630F09" w14:textId="77777777" w:rsidR="007C382B" w:rsidRDefault="007C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řešení situace Jaderné elektrárny Temelín, národohospodářské posouzení přínosů a rizik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1.b) Informace o postupu dostavby Jaderné elektrárny Temelín</w:t>
      </w:r>
      <w:r>
        <w:rPr>
          <w:rFonts w:eastAsia="Times New Roman"/>
        </w:rPr>
        <w:t xml:space="preserve"> </w:t>
      </w:r>
    </w:p>
    <w:p w14:paraId="574499D2" w14:textId="77777777" w:rsidR="007C382B" w:rsidRDefault="007C382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č. j. 516/99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2. Konverze výstavby Jaderné elektrárny Temelín na alternativní způsob využití</w:t>
      </w:r>
      <w:r>
        <w:t xml:space="preserve"> </w:t>
      </w:r>
    </w:p>
    <w:p w14:paraId="7DCDE70D" w14:textId="77777777" w:rsidR="007C382B" w:rsidRDefault="007C382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č. j. 519/99</w:t>
      </w:r>
      <w:r>
        <w:t xml:space="preserve"> </w:t>
      </w:r>
    </w:p>
    <w:p w14:paraId="5F25CECA" w14:textId="77777777" w:rsidR="007C382B" w:rsidRDefault="007C382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7AF8F8" w14:textId="77777777" w:rsidR="007C382B" w:rsidRDefault="007C38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Státního úřadu pro jadernou bezpečnost materiály předložené ministry průmyslu a obchodu (1.a,b) a životního prostředí (2) a přijala</w:t>
      </w:r>
    </w:p>
    <w:p w14:paraId="30AE16EA" w14:textId="24B472E3" w:rsidR="007C382B" w:rsidRDefault="007C382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472.</w:t>
        </w:r>
      </w:hyperlink>
    </w:p>
    <w:p w14:paraId="21B1DA2A" w14:textId="77777777" w:rsidR="007C382B" w:rsidRDefault="007C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19 přítomných členů vlády hlasovalo pro 11 a proti 8. </w:t>
      </w:r>
    </w:p>
    <w:p w14:paraId="3F0B37DA" w14:textId="77777777" w:rsidR="007C382B" w:rsidRDefault="007C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Situační zpráva o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6A81AF" w14:textId="77777777" w:rsidR="007C382B" w:rsidRDefault="007C38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projednala za účasti předsedy Státního úřadu pro jadernou bezpečnost materiál předložený místopředsedou vlády pro hospodářskou politiku a předsedou Státního úřadu pro jadernou bezpečnost a přijala </w:t>
      </w:r>
    </w:p>
    <w:p w14:paraId="0CFDE81A" w14:textId="3FE794E5" w:rsidR="007C382B" w:rsidRDefault="007C382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473.</w:t>
        </w:r>
      </w:hyperlink>
    </w:p>
    <w:p w14:paraId="03BDD28A" w14:textId="77777777" w:rsidR="007C382B" w:rsidRDefault="007C38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19 přítomných členů vlády hlasovalo pro 18 a proti nikdo. </w:t>
      </w:r>
    </w:p>
    <w:p w14:paraId="2442A83D" w14:textId="77777777" w:rsidR="007C382B" w:rsidRDefault="007C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C3CF72A" w14:textId="77777777" w:rsidR="007C382B" w:rsidRDefault="007C382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 CE" w:hAnsi="Times New Roman CE" w:cs="Times New Roman CE"/>
          <w:sz w:val="27"/>
          <w:szCs w:val="27"/>
        </w:rPr>
        <w:t>Zapsala: JUDr.HanaHanusová</w:t>
      </w:r>
    </w:p>
    <w:p w14:paraId="39E2D947" w14:textId="77777777" w:rsidR="007C382B" w:rsidRDefault="007C382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076DC"/>
    <w:multiLevelType w:val="multilevel"/>
    <w:tmpl w:val="369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35C24"/>
    <w:multiLevelType w:val="multilevel"/>
    <w:tmpl w:val="52C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D7DD9"/>
    <w:multiLevelType w:val="multilevel"/>
    <w:tmpl w:val="76A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F42A9"/>
    <w:multiLevelType w:val="multilevel"/>
    <w:tmpl w:val="015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5169">
    <w:abstractNumId w:val="0"/>
  </w:num>
  <w:num w:numId="2" w16cid:durableId="714550113">
    <w:abstractNumId w:val="1"/>
  </w:num>
  <w:num w:numId="3" w16cid:durableId="503132525">
    <w:abstractNumId w:val="3"/>
  </w:num>
  <w:num w:numId="4" w16cid:durableId="30370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2B"/>
    <w:rsid w:val="007C382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FDC4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9956192683202f16c125678b002b84a1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8546210fe0231ccc125678b002b6a16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5-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Company>Profinit EU s.r.o.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