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6CA7DD" w14:textId="77777777" w:rsidR="00861D05" w:rsidRDefault="00861D05">
      <w:pPr>
        <w:pStyle w:val="z-TopofForm"/>
      </w:pPr>
      <w:r>
        <w:t>Top of Form</w:t>
      </w:r>
    </w:p>
    <w:p w14:paraId="0570884E" w14:textId="657BE564" w:rsidR="00861D05" w:rsidRDefault="00861D05">
      <w:pPr>
        <w:pStyle w:val="Heading5"/>
        <w:divId w:val="43536682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1999-06-08</w:t>
        </w:r>
      </w:hyperlink>
    </w:p>
    <w:p w14:paraId="4929C298" w14:textId="77777777" w:rsidR="00861D05" w:rsidRDefault="00861D05">
      <w:pPr>
        <w:rPr>
          <w:rFonts w:eastAsia="Times New Roman"/>
        </w:rPr>
      </w:pPr>
    </w:p>
    <w:p w14:paraId="621B2C24" w14:textId="77777777" w:rsidR="00861D05" w:rsidRDefault="00861D05">
      <w:pPr>
        <w:divId w:val="719011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7942A2" w14:textId="77777777" w:rsidR="00861D05" w:rsidRDefault="00861D05">
      <w:pPr>
        <w:divId w:val="326830954"/>
        <w:rPr>
          <w:rFonts w:eastAsia="Times New Roman"/>
        </w:rPr>
      </w:pPr>
      <w:r>
        <w:rPr>
          <w:rFonts w:eastAsia="Times New Roman"/>
        </w:rPr>
        <w:pict w14:anchorId="4B9E2A32"/>
      </w:r>
      <w:r>
        <w:rPr>
          <w:rFonts w:eastAsia="Times New Roman"/>
        </w:rPr>
        <w:pict w14:anchorId="0DC59429"/>
      </w:r>
      <w:r>
        <w:rPr>
          <w:rFonts w:eastAsia="Times New Roman"/>
          <w:noProof/>
        </w:rPr>
        <w:drawing>
          <wp:inline distT="0" distB="0" distL="0" distR="0" wp14:anchorId="6FD1B41F" wp14:editId="5AF7F13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2DBA" w14:textId="77777777" w:rsidR="00861D05" w:rsidRDefault="00861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989C8F" w14:textId="77777777">
        <w:trPr>
          <w:tblCellSpacing w:w="0" w:type="dxa"/>
        </w:trPr>
        <w:tc>
          <w:tcPr>
            <w:tcW w:w="2500" w:type="pct"/>
            <w:hideMark/>
          </w:tcPr>
          <w:p w14:paraId="5F2CE91F" w14:textId="77777777" w:rsidR="00861D05" w:rsidRDefault="00861D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2257/99</w:t>
            </w:r>
          </w:p>
        </w:tc>
        <w:tc>
          <w:tcPr>
            <w:tcW w:w="2500" w:type="pct"/>
            <w:hideMark/>
          </w:tcPr>
          <w:p w14:paraId="58F83F13" w14:textId="77777777" w:rsidR="00861D05" w:rsidRDefault="00861D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června 1999</w:t>
            </w:r>
          </w:p>
        </w:tc>
      </w:tr>
    </w:tbl>
    <w:p w14:paraId="67BAFFED" w14:textId="77777777" w:rsidR="00861D05" w:rsidRDefault="00861D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června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BF9091B" w14:textId="77777777" w:rsidR="00861D05" w:rsidRDefault="00861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jednotky a dopravního letounu An-26 Armády České republiky do operace JOINT GUARDIAN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D252/1999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DF1AC3" w14:textId="77777777" w:rsidR="00861D05" w:rsidRDefault="00861D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69128F64" w14:textId="3DD75764" w:rsidR="00861D05" w:rsidRDefault="00861D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0813E68B" w14:textId="77777777" w:rsidR="00861D05" w:rsidRDefault="00861D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7E801598" w14:textId="77777777" w:rsidR="00861D05" w:rsidRDefault="00861D05">
      <w:pPr>
        <w:rPr>
          <w:rFonts w:eastAsia="Times New Roman"/>
        </w:rPr>
      </w:pPr>
    </w:p>
    <w:p w14:paraId="12C963C7" w14:textId="77777777" w:rsidR="00861D05" w:rsidRDefault="00861D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3059100" w14:textId="77777777" w:rsidR="00861D05" w:rsidRDefault="00861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pro členy vlády ČR o současném stavu a řešení kosovské krize a české účasti v tomto procesu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V269/1999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7988053" w14:textId="77777777" w:rsidR="00861D05" w:rsidRDefault="00861D0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 CE" w:hAnsi="Times New Roman CE" w:cs="Times New Roman CE"/>
          <w:sz w:val="27"/>
          <w:szCs w:val="27"/>
        </w:rPr>
        <w:t xml:space="preserve">Záznam zpracoval: JUDr. Richard Ulman </w:t>
      </w:r>
    </w:p>
    <w:p w14:paraId="507FA307" w14:textId="77777777" w:rsidR="00861D05" w:rsidRDefault="00861D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8C4"/>
    <w:multiLevelType w:val="multilevel"/>
    <w:tmpl w:val="B1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35DC"/>
    <w:multiLevelType w:val="multilevel"/>
    <w:tmpl w:val="CAF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26327">
    <w:abstractNumId w:val="0"/>
  </w:num>
  <w:num w:numId="2" w16cid:durableId="165941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05"/>
    <w:rsid w:val="00861D0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4663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9adec361b36e522c12567e700378811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6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>Profinit EU s.r.o.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