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1907B2" w14:textId="77777777" w:rsidR="00C04322" w:rsidRDefault="00C04322">
      <w:pPr>
        <w:pStyle w:val="z-TopofForm"/>
      </w:pPr>
      <w:r>
        <w:t>Top of Form</w:t>
      </w:r>
    </w:p>
    <w:p w14:paraId="5849073D" w14:textId="52C62C5F" w:rsidR="00C04322" w:rsidRDefault="00C04322">
      <w:pPr>
        <w:pStyle w:val="Heading5"/>
        <w:divId w:val="39473952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2001-01-22</w:t>
        </w:r>
      </w:hyperlink>
    </w:p>
    <w:p w14:paraId="04A78542" w14:textId="77777777" w:rsidR="00C04322" w:rsidRDefault="00C04322">
      <w:pPr>
        <w:rPr>
          <w:rFonts w:eastAsia="Times New Roman"/>
        </w:rPr>
      </w:pPr>
    </w:p>
    <w:p w14:paraId="29AFDD24" w14:textId="77777777" w:rsidR="00C04322" w:rsidRDefault="00C04322">
      <w:pPr>
        <w:divId w:val="13381958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C36F57" w14:textId="77777777" w:rsidR="00C04322" w:rsidRDefault="00C04322">
      <w:pPr>
        <w:divId w:val="1572500714"/>
        <w:rPr>
          <w:rFonts w:eastAsia="Times New Roman"/>
        </w:rPr>
      </w:pPr>
      <w:r>
        <w:rPr>
          <w:rFonts w:eastAsia="Times New Roman"/>
        </w:rPr>
        <w:pict w14:anchorId="039F44AD"/>
      </w:r>
      <w:r>
        <w:rPr>
          <w:rFonts w:eastAsia="Times New Roman"/>
        </w:rPr>
        <w:pict w14:anchorId="101A64D0"/>
      </w:r>
      <w:r>
        <w:rPr>
          <w:rFonts w:eastAsia="Times New Roman"/>
          <w:noProof/>
        </w:rPr>
        <w:drawing>
          <wp:inline distT="0" distB="0" distL="0" distR="0" wp14:anchorId="5F9A295F" wp14:editId="383208F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3E77" w14:textId="77777777" w:rsidR="00C04322" w:rsidRDefault="00C043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71E185" w14:textId="77777777">
        <w:trPr>
          <w:tblCellSpacing w:w="0" w:type="dxa"/>
        </w:trPr>
        <w:tc>
          <w:tcPr>
            <w:tcW w:w="2500" w:type="pct"/>
            <w:hideMark/>
          </w:tcPr>
          <w:p w14:paraId="29D01740" w14:textId="77777777" w:rsidR="00C04322" w:rsidRDefault="00C0432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2209/01</w:t>
            </w:r>
          </w:p>
        </w:tc>
        <w:tc>
          <w:tcPr>
            <w:tcW w:w="2500" w:type="pct"/>
            <w:hideMark/>
          </w:tcPr>
          <w:p w14:paraId="2F18B8AF" w14:textId="77777777" w:rsidR="00C04322" w:rsidRDefault="00C0432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ledna 2001</w:t>
            </w:r>
          </w:p>
        </w:tc>
      </w:tr>
    </w:tbl>
    <w:p w14:paraId="45E5A440" w14:textId="77777777" w:rsidR="00C04322" w:rsidRDefault="00C0432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ledna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15DB0B89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předškolním, základním, středním, vyšším odborném a některém jiném vzdělávání a o změně některých dalších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649E9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programu jednání.</w:t>
      </w:r>
    </w:p>
    <w:p w14:paraId="7C5E1987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 o výkonu ústavní výchovy a ochranné výchovy a o preventivně výchovné péči ve školských zařízeních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063E7D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798115C" w14:textId="6CDFA412" w:rsidR="00C04322" w:rsidRDefault="00C0432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</w:t>
        </w:r>
      </w:hyperlink>
    </w:p>
    <w:p w14:paraId="0FDEC8FF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31 odst. 5 návrhu podle připomínky místopředsedy vlády a ministra financí upřesněné místopředsedou vlády a ministrem spravedlnosti a předsedou Legislativní rady vlády a § 20 odst. 1, písm. a) návrhu podle připomínky náměstka ministra práce a sociálních věcí Ing. J. Rusnoka.</w:t>
      </w:r>
    </w:p>
    <w:p w14:paraId="70D1988E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D66916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zajištění potřebných informací pro účely řízení před Evropským soudem pro lidská práva.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8A413E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29F5AF9B" w14:textId="735F7BF1" w:rsidR="00C04322" w:rsidRDefault="00C0432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78.</w:t>
        </w:r>
      </w:hyperlink>
    </w:p>
    <w:p w14:paraId="515E9D1B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5BDFFCF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Rostislava Čevely a Milana Cabrnocha na vydání zákona, kterým se mění zákon č. 20/1966 Sb., o péči o zdraví lidu, ve znění pozdějších předpisů (sněmovní tisk č. 809)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0B6A5C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spravedlnosti a předsedou Legislativní rady vlády a přijala</w:t>
      </w:r>
    </w:p>
    <w:p w14:paraId="31FC342C" w14:textId="34E5FD9E" w:rsidR="00C04322" w:rsidRDefault="00C0432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79.</w:t>
        </w:r>
      </w:hyperlink>
    </w:p>
    <w:p w14:paraId="336A5347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0995B9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Novela Bezpečnostní strategie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C1A643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B1419D4" w14:textId="7A4FD384" w:rsidR="00C04322" w:rsidRDefault="00C0432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</w:t>
        </w:r>
      </w:hyperlink>
    </w:p>
    <w:p w14:paraId="6D2FAA69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Bezpečnostní strategie upravena podle připomínek místopředsedy vlády a ministra spravedlnosti a předsedy Legislativní rady vlády a ministrů životního prostředí, vnitra a pro místní rozvoj a dále s tím, že budou posouzeny připomínky ministra obrany.</w:t>
      </w:r>
    </w:p>
    <w:p w14:paraId="58A97A86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8CE5499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plnění úkolů uložených vládou České republiky za měsíc prosinec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905D55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zevrubně projednala materiál předložený ministrem a vedoucím Úřadu vlády a přijala</w:t>
      </w:r>
    </w:p>
    <w:p w14:paraId="23594126" w14:textId="292CA7F7" w:rsidR="00C04322" w:rsidRDefault="00C0432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81.</w:t>
        </w:r>
      </w:hyperlink>
    </w:p>
    <w:p w14:paraId="32251C48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14 a proti l.</w:t>
      </w:r>
    </w:p>
    <w:p w14:paraId="54BAC8F3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Zajištění Mezinárodního roku dobrovolníků 2001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BC0778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74773D5D" w14:textId="0502267F" w:rsidR="00C04322" w:rsidRDefault="00C0432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82.</w:t>
        </w:r>
      </w:hyperlink>
    </w:p>
    <w:p w14:paraId="1D7A1086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ED8A258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D8F69E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spravedlnosti a předsedou Legislativní rady vlády a přijala</w:t>
      </w:r>
    </w:p>
    <w:p w14:paraId="2979CD90" w14:textId="06D966D1" w:rsidR="00C04322" w:rsidRDefault="00C0432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83.</w:t>
        </w:r>
      </w:hyperlink>
    </w:p>
    <w:p w14:paraId="40CFCFB3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5FDD51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organizace výběru poradce vlády pro privatizaci společnosti UNIPETROL,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BA5DB8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ministrem průmyslu a obchodu přijala</w:t>
      </w:r>
    </w:p>
    <w:p w14:paraId="57AA27E5" w14:textId="4DCC1565" w:rsidR="00C04322" w:rsidRDefault="00C0432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</w:p>
    <w:p w14:paraId="35C9640B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</w:p>
    <w:p w14:paraId="0A0FCA66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zpřesněných finančních výdajích na realizaci 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D45AB6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5FA8BFAC" w14:textId="2A49D35C" w:rsidR="00C04322" w:rsidRDefault="00C0432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85.</w:t>
        </w:r>
      </w:hyperlink>
    </w:p>
    <w:p w14:paraId="67CE153B" w14:textId="77777777" w:rsidR="00C04322" w:rsidRDefault="00C0432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681159EA" w14:textId="77777777" w:rsidR="00C04322" w:rsidRDefault="00C0432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CB34BE8" w14:textId="77777777" w:rsidR="00C04322" w:rsidRDefault="00C0432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57404B0" w14:textId="77777777" w:rsidR="00C04322" w:rsidRDefault="00C0432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pro členy vlády o řešení neslučitelnosti funkcí u přednostů okresních úřadů zvolených ve volbách do Senátu PČR a do krajských zastupitelstev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ministerského zasedání Západoevropské unie (ZEU) v Marseille dne 13. listopadu 2000 (předložili místopředseda vlády a ministr zahraničních věcí a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XXVIII. zasedání Shromáždění stran Evropské telekomunikační družicové organizace "Eutelsat" (Paříž, 17. - 19.10.2000)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Stanovisko Ministerstva zahraničních věcí k postupu vládního zmocn</w:t>
      </w:r>
      <w:r>
        <w:rPr>
          <w:rFonts w:ascii="Times New Roman CE" w:eastAsia="Times New Roman" w:hAnsi="Times New Roman CE" w:cs="Times New Roman CE"/>
          <w:sz w:val="27"/>
          <w:szCs w:val="27"/>
        </w:rPr>
        <w:t>ěnce pro zastupování České republiky v řízení před Evropským soudem pro lidská práva ve Štrasburku ve věci stížnosti č. 52207/99 (tzv. případ Bankovič a spol.)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60/01 </w:t>
      </w:r>
      <w:r>
        <w:rPr>
          <w:rFonts w:eastAsia="Times New Roman"/>
        </w:rPr>
        <w:br/>
      </w:r>
    </w:p>
    <w:p w14:paraId="4EE47BB9" w14:textId="77777777" w:rsidR="00C04322" w:rsidRDefault="00C0432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E6B535B" w14:textId="77777777" w:rsidR="00C04322" w:rsidRDefault="00C0432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6699A28" w14:textId="77777777" w:rsidR="00C04322" w:rsidRDefault="00C043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C4BD109" w14:textId="77777777" w:rsidR="00C04322" w:rsidRDefault="00C0432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22"/>
    <w:rsid w:val="00B3122F"/>
    <w:rsid w:val="00C0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FB6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3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fb86fd892c3e79a6c125642c005700fe\9f6a58acb2a90ffac12569e300327429%3fOpen&amp;Name=CN=Ghoul\O=ENV\C=CZ&amp;Id=C1256A62004E5036" TargetMode="External"/><Relationship Id="rId18" Type="http://schemas.openxmlformats.org/officeDocument/2006/relationships/hyperlink" Target="file:///c:\redir.nsf%3fRedirect&amp;To=\fb86fd892c3e79a6c125642c005700fe\869118f8e9d63a5bc12569e30033734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10557b98743308a4c12569e300323362%3fOpen&amp;Name=CN=Ghoul\O=ENV\C=CZ&amp;Id=C1256A62004E5036" TargetMode="External"/><Relationship Id="rId17" Type="http://schemas.openxmlformats.org/officeDocument/2006/relationships/hyperlink" Target="file:///c:\redir.nsf%3fRedirect&amp;To=\fb86fd892c3e79a6c125642c005700fe\bd36ebc438f033a1c12569e3003345fd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4138c7521fa98e59c12569e30033189d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f80051b02892a667c12569e3003205d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75c493bdc8ed05dbc12569e30032e50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cd0dc632ad760c60c12569e30033a69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22" TargetMode="External"/><Relationship Id="rId14" Type="http://schemas.openxmlformats.org/officeDocument/2006/relationships/hyperlink" Target="file:///c:\redir.nsf%3fRedirect&amp;To=\fb86fd892c3e79a6c125642c005700fe\002d18a5b1511344c12569e30032a77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6416</Characters>
  <Application>Microsoft Office Word</Application>
  <DocSecurity>0</DocSecurity>
  <Lines>53</Lines>
  <Paragraphs>15</Paragraphs>
  <ScaleCrop>false</ScaleCrop>
  <Company>Profinit EU s.r.o.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