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6167C3" w14:textId="77777777" w:rsidR="0032129F" w:rsidRDefault="0032129F">
      <w:pPr>
        <w:pStyle w:val="z-TopofForm"/>
      </w:pPr>
      <w:r>
        <w:t>Top of Form</w:t>
      </w:r>
    </w:p>
    <w:p w14:paraId="4AD65897" w14:textId="1153CD45" w:rsidR="0032129F" w:rsidRDefault="0032129F">
      <w:pPr>
        <w:pStyle w:val="Heading5"/>
        <w:divId w:val="96790381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2002-04-22</w:t>
        </w:r>
      </w:hyperlink>
    </w:p>
    <w:p w14:paraId="1C116DE7" w14:textId="77777777" w:rsidR="0032129F" w:rsidRDefault="0032129F">
      <w:pPr>
        <w:rPr>
          <w:rFonts w:eastAsia="Times New Roman"/>
        </w:rPr>
      </w:pPr>
    </w:p>
    <w:p w14:paraId="63B1F09C" w14:textId="77777777" w:rsidR="0032129F" w:rsidRDefault="0032129F">
      <w:pPr>
        <w:divId w:val="13927711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688BA1" w14:textId="77777777" w:rsidR="0032129F" w:rsidRDefault="0032129F">
      <w:pPr>
        <w:divId w:val="902373848"/>
        <w:rPr>
          <w:rFonts w:eastAsia="Times New Roman"/>
        </w:rPr>
      </w:pPr>
      <w:r>
        <w:rPr>
          <w:rFonts w:eastAsia="Times New Roman"/>
        </w:rPr>
        <w:pict w14:anchorId="6F3067E0"/>
      </w:r>
      <w:r>
        <w:rPr>
          <w:rFonts w:eastAsia="Times New Roman"/>
        </w:rPr>
        <w:pict w14:anchorId="2F0DE99F"/>
      </w:r>
      <w:r>
        <w:rPr>
          <w:rFonts w:eastAsia="Times New Roman"/>
          <w:noProof/>
        </w:rPr>
        <w:drawing>
          <wp:inline distT="0" distB="0" distL="0" distR="0" wp14:anchorId="43C84C4F" wp14:editId="76243A7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7C1A" w14:textId="77777777" w:rsidR="0032129F" w:rsidRDefault="003212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001D1BE" w14:textId="77777777">
        <w:trPr>
          <w:tblCellSpacing w:w="0" w:type="dxa"/>
        </w:trPr>
        <w:tc>
          <w:tcPr>
            <w:tcW w:w="2500" w:type="pct"/>
            <w:hideMark/>
          </w:tcPr>
          <w:p w14:paraId="46C2B867" w14:textId="77777777" w:rsidR="0032129F" w:rsidRDefault="0032129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2233/02</w:t>
            </w:r>
          </w:p>
        </w:tc>
        <w:tc>
          <w:tcPr>
            <w:tcW w:w="2500" w:type="pct"/>
            <w:hideMark/>
          </w:tcPr>
          <w:p w14:paraId="372921C8" w14:textId="77777777" w:rsidR="0032129F" w:rsidRDefault="0032129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dubna 2002</w:t>
            </w:r>
          </w:p>
        </w:tc>
      </w:tr>
    </w:tbl>
    <w:p w14:paraId="20D848EE" w14:textId="77777777" w:rsidR="0032129F" w:rsidRDefault="0032129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dubna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Krajském úřadu Plzeňského kraje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2472A350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hospodářské a sociální situaci Plzeňského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EFE72A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hejtmana Plzeňského kraje MUDr. P. Zimmermanna zprávu předloženou ministrem pro místní rozvoj a přijala</w:t>
      </w:r>
    </w:p>
    <w:p w14:paraId="7A840B73" w14:textId="38E98D25" w:rsidR="0032129F" w:rsidRDefault="0032129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416.</w:t>
        </w:r>
      </w:hyperlink>
    </w:p>
    <w:p w14:paraId="36B828C6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2010048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Koncepce ochrany obyvatelstva do roku 2006 s výhledem do roku 2015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74A785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koncepci předloženou ministrem vnitra a přijala</w:t>
      </w:r>
    </w:p>
    <w:p w14:paraId="154B593C" w14:textId="5FC37FAF" w:rsidR="0032129F" w:rsidRDefault="0032129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417.</w:t>
        </w:r>
      </w:hyperlink>
    </w:p>
    <w:p w14:paraId="06AB03F4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9C3611C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Kontraktu na nákup 24 víceúčelových nadzvukových letounů JAS-39 Gripen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1553A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za účasti představitelů Armády České republiky návrh předložený ministrem obrany a přijala</w:t>
      </w:r>
    </w:p>
    <w:p w14:paraId="21DF54AF" w14:textId="7987E55D" w:rsidR="0032129F" w:rsidRDefault="0032129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418.</w:t>
        </w:r>
      </w:hyperlink>
    </w:p>
    <w:p w14:paraId="0FC08369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7E11B5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Příprava kampaně proti rasismu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7A404B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6F015A87" w14:textId="4C1D6F7D" w:rsidR="0032129F" w:rsidRDefault="0032129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419.</w:t>
        </w:r>
      </w:hyperlink>
    </w:p>
    <w:p w14:paraId="21FAF2B8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3E321E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5.a) Informace o pokladním plnění státního rozpočtu České republiky za 1. čtvrtletí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5.b) Přehled čerpání vládní rozpočtové rezervy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15885B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informace předložené ministrem financí</w:t>
      </w:r>
    </w:p>
    <w:p w14:paraId="791CF4A1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6E1C224" w14:textId="6A6BECDF" w:rsidR="0032129F" w:rsidRDefault="0032129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420.</w:t>
        </w:r>
      </w:hyperlink>
    </w:p>
    <w:p w14:paraId="7DE1D071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informaci ministra obrany, že Zpráva o stavu plnění a dokončení očisty bývalého vojenského újezdu RALSKO od munice předložená na jednání vlády dne 17. dubna 2002 nebude vládě již znovu předložena.</w:t>
      </w:r>
    </w:p>
    <w:p w14:paraId="5B06786F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2471E0E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Doplňující opatření k zabezpečení přípravy území průmyslové zóny Kolín - Ovčáry pro výstavbu výrobního závodu Toyota Peugeot Citroën Automobile Czech,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58CFDC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starostky Města Kolín a ředitele agentury CzechInvest materiál předložený místopředsedou vlády a ministrem průmyslu a obchodu a přijala</w:t>
      </w:r>
    </w:p>
    <w:p w14:paraId="732AFD6A" w14:textId="3541E7FF" w:rsidR="0032129F" w:rsidRDefault="0032129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421.</w:t>
        </w:r>
      </w:hyperlink>
    </w:p>
    <w:p w14:paraId="5348CB2F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2AA7B7B2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nového statutu, jednacího řádu a volebního řádu Hospodářské komory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3EF789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Hospodářské komory České republiky p ř e r u š i l a projednávání návrhu předloženého místopředsedou vlády a ministrem průmyslu a obchodu a v y z v a l a prezidenta Hospodářské komory České republiky k odstranění nedostatků, které vyplynuly z jednání vlády, v projednávaném návrhu.</w:t>
      </w:r>
    </w:p>
    <w:p w14:paraId="2DAB34BD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C12F4C7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realizaci nástroje ISPA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454006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pro místní rozvoj a přijala</w:t>
      </w:r>
    </w:p>
    <w:p w14:paraId="61B5F5D4" w14:textId="345D7316" w:rsidR="0032129F" w:rsidRDefault="0032129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</w:p>
    <w:p w14:paraId="1CA4A314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nikdo.</w:t>
      </w:r>
    </w:p>
    <w:p w14:paraId="731100AB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plnění úkolů uložených vládou České republiky za měsíc březen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53881E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 zprávu předloženou ministrem a vedoucím Úřadu vlády na jednání své schůze dne 29. dubna 2002.</w:t>
      </w:r>
    </w:p>
    <w:p w14:paraId="1599EB99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sjednávání Smlouvy mezi Českou republikou a Spolkovou republikou Německo o zamezení dvojího zdanění v oboru daní z příjmu a z majetku a Protokolu k této smlouvě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F01A6F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přijala</w:t>
      </w:r>
    </w:p>
    <w:p w14:paraId="3232E399" w14:textId="0592A462" w:rsidR="0032129F" w:rsidRDefault="0032129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423.</w:t>
        </w:r>
      </w:hyperlink>
    </w:p>
    <w:p w14:paraId="6552452A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343B45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místopředsedy vlády a ministra zahraničních věcí České republiky Jana Kavana v Chorvatské republice dne 26.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D285D5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D6505F5" w14:textId="36CBCCB6" w:rsidR="0032129F" w:rsidRDefault="0032129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424.</w:t>
        </w:r>
      </w:hyperlink>
    </w:p>
    <w:p w14:paraId="67A27014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DB29491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předsedy vlády Polské republiky L. Millera v České republice ve dnech 26.-27.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FA6EB2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0756B58" w14:textId="2B9161C4" w:rsidR="0032129F" w:rsidRDefault="0032129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425.</w:t>
        </w:r>
      </w:hyperlink>
    </w:p>
    <w:p w14:paraId="63A3F026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340D246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pracovní návštěvy prezidentů Litvy, Lotyšska a Estonska v České republice dne 2.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CF938F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E5C9D68" w14:textId="79C319A2" w:rsidR="0032129F" w:rsidRDefault="0032129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426.</w:t>
        </w:r>
      </w:hyperlink>
    </w:p>
    <w:p w14:paraId="620F6B0E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48AF4D8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oficiální návštěvy ministra zahraničních věcí a obchodu Nového Zélandu Phila Goffa v České republice ve dnech 9.-10.5.2002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DFC680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0CF1A01" w14:textId="66187AC5" w:rsidR="0032129F" w:rsidRDefault="0032129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427.</w:t>
        </w:r>
      </w:hyperlink>
    </w:p>
    <w:p w14:paraId="04257BB9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D081624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vyslání delegace ČR vedené místopředsedou vlády a ministrem zahraničních věcí na ministerské zasedání Severoatlantické rady NATO v Reykjavíku ve dnech 14. - 15.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4623D1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FD8E05E" w14:textId="3A931ED7" w:rsidR="0032129F" w:rsidRDefault="0032129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428.</w:t>
        </w:r>
      </w:hyperlink>
    </w:p>
    <w:p w14:paraId="1E244F04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1F81043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Přiznání statusu pozorovatele České republice v Dunajské komisi a příspěvek do fondu Dunajské komise na vyčištění plavební dráhy Dunaje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94C2F0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A0760E7" w14:textId="2D61113C" w:rsidR="0032129F" w:rsidRDefault="0032129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429.</w:t>
        </w:r>
      </w:hyperlink>
    </w:p>
    <w:p w14:paraId="381D7774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D7C6871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Souhlas s vývozem za účelem vystavení tří movitých národních kulturních památek na výstavu „Il Museo dei Gonzaga. Le Collezioni ducali di Mantova tra Controriforma e Barocco“ do Itálie a jedné národní kulturní památky na výstavu „La Construction du Palais des Papes du XIVe au XXe siecle“ do Francie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BFA5F3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B4E0829" w14:textId="740DFCE9" w:rsidR="0032129F" w:rsidRDefault="0032129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430.</w:t>
        </w:r>
      </w:hyperlink>
    </w:p>
    <w:p w14:paraId="3B9BDF2B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5CD3907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Zřízení funkce „Národní operátor telekomunikačních sítí“ a jmenování </w:t>
      </w:r>
      <w:r>
        <w:rPr>
          <w:rFonts w:ascii="Times New Roman CE" w:eastAsia="Times New Roman" w:hAnsi="Times New Roman CE" w:cs="Times New Roman CE"/>
          <w:sz w:val="27"/>
          <w:szCs w:val="27"/>
        </w:rPr>
        <w:t>ČESKÝ TELECOM, a.s. národním operátorem telekomunikačních sítí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11BB88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C53F8CA" w14:textId="7ECDB150" w:rsidR="0032129F" w:rsidRDefault="0032129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431.</w:t>
        </w:r>
      </w:hyperlink>
    </w:p>
    <w:p w14:paraId="3C7C59EA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zpracování konečného znění Rámcové smlouvy o spolupráci při zajištění činností souvisejících se jmenováním Národním operátorem bude vzata v úvahu připomínka místopředsedy vlády a předsedy Legislativní rady vlády (čl. 4 odst. 4.3)</w:t>
      </w:r>
    </w:p>
    <w:p w14:paraId="09923BA8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A0740BF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vstup strategického investora do společnosti Zetor,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4BB961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B13777B" w14:textId="5A3010FE" w:rsidR="0032129F" w:rsidRDefault="0032129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432.</w:t>
        </w:r>
      </w:hyperlink>
    </w:p>
    <w:p w14:paraId="14DBA132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</w:t>
      </w:r>
    </w:p>
    <w:p w14:paraId="48C3CA23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Poskytnutí trvale nepotřebného majetku státu, s nímž přísluší hospodařit Ministerstvu obrany, formou darovací smlouvy Slovenské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2E8BCA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6B58D84" w14:textId="278FAA04" w:rsidR="0032129F" w:rsidRDefault="0032129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433.</w:t>
        </w:r>
      </w:hyperlink>
    </w:p>
    <w:p w14:paraId="7E02BF37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A6E9F02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Evropská charta pro malé podniky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D6FDA6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22CD8EB1" w14:textId="6BA9550D" w:rsidR="0032129F" w:rsidRDefault="0032129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434.</w:t>
        </w:r>
      </w:hyperlink>
    </w:p>
    <w:p w14:paraId="42E7D76B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34009C6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postupu jednání o restrukturalizaci ocelářského průmyslu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C3CBF7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průmyslu a obchodu a ministrem financí a přijala</w:t>
      </w:r>
    </w:p>
    <w:p w14:paraId="2474B72C" w14:textId="6BCB241C" w:rsidR="0032129F" w:rsidRDefault="0032129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435.</w:t>
        </w:r>
      </w:hyperlink>
    </w:p>
    <w:p w14:paraId="2CA3D0CD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38E1CB2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smluvních vztahů a návrh způsobu financování realizace záměru výstavby komunikace D47 v úseku Lipník nad Bečvou - státní hranice Česká republika/Polská republika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EF9270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dopravy a spojů s tím, že jej dokončí na jednání své schůze dne 29. dubna 2002.</w:t>
      </w:r>
    </w:p>
    <w:p w14:paraId="0AD187E4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356E7F5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Změna usnesení vlády z 25. března 2002 č. 297, o nařízení vlády o příspěvku souvisejícím s restrukturalizací ocelářského průmyslu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0D6956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práce a sociálních věcí přijala</w:t>
      </w:r>
    </w:p>
    <w:p w14:paraId="158EDF16" w14:textId="4E217076" w:rsidR="0032129F" w:rsidRDefault="0032129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436.</w:t>
        </w:r>
      </w:hyperlink>
    </w:p>
    <w:p w14:paraId="2511167A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B9804BD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Přehled </w:t>
      </w:r>
      <w:r>
        <w:rPr>
          <w:rFonts w:ascii="Times New Roman CE" w:eastAsia="Times New Roman" w:hAnsi="Times New Roman CE" w:cs="Times New Roman CE"/>
          <w:sz w:val="27"/>
          <w:szCs w:val="27"/>
        </w:rPr>
        <w:t>všech forem státní podpory poskytnuté do území České republiky v členění na kraje a okresy v letech 1999 až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FA85E7" w14:textId="77777777" w:rsidR="0032129F" w:rsidRDefault="003212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pro místní rozvoj a financí a zařazený v části Pro informaci bod 1 programu schůze vlády dne 22. dubna 2002 byl stažen z programu.</w:t>
      </w:r>
    </w:p>
    <w:p w14:paraId="72EFAE14" w14:textId="77777777" w:rsidR="0032129F" w:rsidRDefault="0032129F">
      <w:pPr>
        <w:spacing w:after="240"/>
        <w:rPr>
          <w:rFonts w:eastAsia="Times New Roman"/>
        </w:rPr>
      </w:pPr>
    </w:p>
    <w:p w14:paraId="6FF63A30" w14:textId="77777777" w:rsidR="0032129F" w:rsidRDefault="0032129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4232644" w14:textId="77777777" w:rsidR="0032129F" w:rsidRDefault="003212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vyhlášených stavech nebezpečí v obci Hřensko (okres Děčín) (předložili ministři životního prostředí a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účasti předsedy vlády na setkání předsedů vlád V10 v Bukurešti ve dnech 25. - 26. března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oficiální návštěvy místopředsedy vlády a ministra zahraničních věcí Jana Kavana ve Finské republice dne 26. 3.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485/02</w:t>
      </w:r>
      <w:r>
        <w:rPr>
          <w:rFonts w:eastAsia="Times New Roman"/>
        </w:rPr>
        <w:br/>
      </w:r>
    </w:p>
    <w:p w14:paraId="637FEF05" w14:textId="77777777" w:rsidR="0032129F" w:rsidRDefault="0032129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E01775F" w14:textId="77777777" w:rsidR="0032129F" w:rsidRDefault="0032129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94D4835" w14:textId="77777777" w:rsidR="0032129F" w:rsidRDefault="003212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4D80B26" w14:textId="77777777" w:rsidR="0032129F" w:rsidRDefault="003212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9F"/>
    <w:rsid w:val="0032129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DFB5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7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4c09b908bb6e9cc6c1256c4c003d7b0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eba1d0b025780c2c1256c4c003d7b0c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5dad79da34bf8cc0c1256c4c003d7a33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a09f0cd5f5355039c1256c4c003d7ade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9f742e41fb914f91c1256c4c003d7a6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b960032a704e4ba6c1256c4c003d7b2d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dc9200cb9290818c1256c4c003d7b25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e743a9d27fff50fdc1256c4c003d79e8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7c1e125d9d9817ac1256c4c003d7a12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fad8b98c4edb76e6c1256c4c003d7adc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605de3190ef67b0bc1256c4c003d7a98%3fOpen&amp;Name=CN=Ghoul\O=ENV\C=CZ&amp;Id=C1256A62004E5036" TargetMode="External"/><Relationship Id="rId24" Type="http://schemas.openxmlformats.org/officeDocument/2006/relationships/hyperlink" Target="file:///c:\redir.nsf%3fRedirect&amp;To=\6802db4c27cf71ffc1256f220067f94a\de15667360d22e98c1256c4c003d7a3e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aca6d2dcfba4f21c1256c4c003d7b3d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bf578310bfbc93bc1256c4c003d7a05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9206c73c9605e46dc1256c4c003d7a76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24b37c6f772cec30c1256c4c003d7a1b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a9ca1bdef289b0cac1256c4c003d7abf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4-22" TargetMode="External"/><Relationship Id="rId14" Type="http://schemas.openxmlformats.org/officeDocument/2006/relationships/hyperlink" Target="file:///c:\redir.nsf%3fRedirect&amp;To=\6802db4c27cf71ffc1256f220067f94a\2750bbe5eba51e25c1256c4c003d7af1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57f56f9df653f5cc1256c4c003d7a00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11b390605d5c9535c1256c4c003d7a63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56f64f98ab5e55a5c1256c4c003d7b4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2295</Words>
  <Characters>13086</Characters>
  <Application>Microsoft Office Word</Application>
  <DocSecurity>0</DocSecurity>
  <Lines>109</Lines>
  <Paragraphs>30</Paragraphs>
  <ScaleCrop>false</ScaleCrop>
  <Company>Profinit EU s.r.o.</Company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