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066614" w14:textId="77777777" w:rsidR="00AE37B6" w:rsidRDefault="00AE37B6">
      <w:pPr>
        <w:pStyle w:val="z-TopofForm"/>
      </w:pPr>
      <w:r>
        <w:t>Top of Form</w:t>
      </w:r>
    </w:p>
    <w:p w14:paraId="34870574" w14:textId="223CA17A" w:rsidR="00AE37B6" w:rsidRDefault="00AE37B6">
      <w:pPr>
        <w:pStyle w:val="Heading5"/>
        <w:divId w:val="152189120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2006-09-29</w:t>
        </w:r>
      </w:hyperlink>
    </w:p>
    <w:p w14:paraId="3AE8F41B" w14:textId="77777777" w:rsidR="00AE37B6" w:rsidRDefault="00AE37B6">
      <w:pPr>
        <w:rPr>
          <w:rFonts w:eastAsia="Times New Roman"/>
        </w:rPr>
      </w:pPr>
    </w:p>
    <w:p w14:paraId="15E975CB" w14:textId="77777777" w:rsidR="00AE37B6" w:rsidRDefault="00AE37B6">
      <w:pPr>
        <w:divId w:val="5936303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58B940" w14:textId="77777777" w:rsidR="00AE37B6" w:rsidRDefault="00AE37B6">
      <w:pPr>
        <w:divId w:val="1658147346"/>
        <w:rPr>
          <w:rFonts w:eastAsia="Times New Roman"/>
        </w:rPr>
      </w:pPr>
      <w:r>
        <w:rPr>
          <w:rFonts w:eastAsia="Times New Roman"/>
        </w:rPr>
        <w:pict w14:anchorId="24408B22"/>
      </w:r>
      <w:r>
        <w:rPr>
          <w:rFonts w:eastAsia="Times New Roman"/>
        </w:rPr>
        <w:pict w14:anchorId="5B2662CE"/>
      </w:r>
      <w:r>
        <w:rPr>
          <w:rFonts w:eastAsia="Times New Roman"/>
          <w:noProof/>
        </w:rPr>
        <w:drawing>
          <wp:inline distT="0" distB="0" distL="0" distR="0" wp14:anchorId="6AA94F4D" wp14:editId="7C542E5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912F" w14:textId="77777777" w:rsidR="00AE37B6" w:rsidRDefault="00AE37B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9F097A" w14:textId="77777777">
        <w:trPr>
          <w:tblCellSpacing w:w="0" w:type="dxa"/>
        </w:trPr>
        <w:tc>
          <w:tcPr>
            <w:tcW w:w="2500" w:type="pct"/>
            <w:hideMark/>
          </w:tcPr>
          <w:p w14:paraId="0919961D" w14:textId="77777777" w:rsidR="00AE37B6" w:rsidRDefault="00AE37B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2089/06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35A08870" w14:textId="77777777" w:rsidR="00AE37B6" w:rsidRDefault="00AE37B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září 2006</w:t>
            </w:r>
          </w:p>
        </w:tc>
      </w:tr>
    </w:tbl>
    <w:p w14:paraId="723B7086" w14:textId="77777777" w:rsidR="00AE37B6" w:rsidRDefault="00AE37B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6D58B166" w14:textId="77777777" w:rsidR="00AE37B6" w:rsidRDefault="00AE37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Jednání schůze vlády bylo uzavřené.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5C77922" w14:textId="77777777">
        <w:trPr>
          <w:tblCellSpacing w:w="0" w:type="dxa"/>
        </w:trPr>
        <w:tc>
          <w:tcPr>
            <w:tcW w:w="5100" w:type="dxa"/>
            <w:hideMark/>
          </w:tcPr>
          <w:p w14:paraId="7E9A8578" w14:textId="77777777" w:rsidR="00AE37B6" w:rsidRDefault="00AE37B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292A0" wp14:editId="603FE7DA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8FF50B2" w14:textId="77777777" w:rsidR="00AE37B6" w:rsidRDefault="00AE37B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 o p o l á n e k , v. r. </w:t>
            </w:r>
          </w:p>
        </w:tc>
      </w:tr>
    </w:tbl>
    <w:p w14:paraId="107ED73C" w14:textId="77777777" w:rsidR="00AE37B6" w:rsidRDefault="00AE37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82A4C5E" w14:textId="77777777">
        <w:trPr>
          <w:tblCellSpacing w:w="0" w:type="dxa"/>
        </w:trPr>
        <w:tc>
          <w:tcPr>
            <w:tcW w:w="1695" w:type="dxa"/>
            <w:hideMark/>
          </w:tcPr>
          <w:p w14:paraId="6D13D004" w14:textId="77777777" w:rsidR="00AE37B6" w:rsidRDefault="00AE37B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C2024A3" w14:textId="77777777" w:rsidR="00AE37B6" w:rsidRDefault="00AE37B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39C0931B" w14:textId="77777777" w:rsidR="00AE37B6" w:rsidRDefault="00AE37B6">
      <w:pPr>
        <w:spacing w:after="240"/>
        <w:jc w:val="center"/>
        <w:rPr>
          <w:rFonts w:eastAsia="Times New Roman"/>
        </w:rPr>
      </w:pPr>
    </w:p>
    <w:p w14:paraId="2BD84E4C" w14:textId="77777777" w:rsidR="00AE37B6" w:rsidRDefault="00AE37B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6"/>
    <w:rsid w:val="00AE37B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5F30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63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>Profinit EU s.r.o.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- 2006-09-29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