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color w:val="003A5B"/>
        </w:rPr>
        <w:t xml:space="preserve">PHARMACOPOLA s.r.o.</w:t>
      </w:r>
    </w:p>
    <w:p>
      <w:pPr>
        <w:jc w:val="center"/>
      </w:pPr>
      <w:r>
        <w:rPr>
          <w:color w:val="5B6E7A"/>
          <w:sz w:val="20"/>
          <w:szCs w:val="20"/>
        </w:rPr>
        <w:t xml:space="preserve">TESTOVACÍ PROTOKOL</w:t>
      </w:r>
    </w:p>
    <w:p>
      <w:pPr>
        <w:pStyle w:val="Title"/>
      </w:pPr>
      <w:r>
        <w:t xml:space="preserve">Testovací protokol IQ / OQ / PQ – aplikácia SOP Archív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8"/>
        <w:gridCol w:w="3628"/>
        <w:gridCol w:w="3628"/>
        <w:gridCol w:w="3686"/>
      </w:tblGrid>
      <w:tr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Kód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Verzia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Účinnosť od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Útvar</w:t>
            </w:r>
          </w:p>
        </w:tc>
      </w:tr>
      <w:tr>
        <w:tc>
          <w:tcPr>
            <w:vAlign w:val="center"/>
          </w:tcPr>
          <w:p>
            <w:pPr>
              <w:pStyle w:val="Small"/>
            </w:pPr>
            <w:r>
              <w:t xml:space="preserve">VAL-SA-03</w:t>
            </w:r>
          </w:p>
        </w:tc>
        <w:tc>
          <w:tcPr>
            <w:vAlign w:val="center"/>
          </w:tcPr>
          <w:p>
            <w:pPr>
              <w:pStyle w:val="Small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Small"/>
            </w:pPr>
            <w:r>
              <w:rPr>
                <w:highlight w:val="yellow"/>
              </w:rPr>
              <w:t xml:space="preserve">[DOPLNIŤ]</w:t>
            </w:r>
          </w:p>
        </w:tc>
        <w:tc>
          <w:tcPr>
            <w:vAlign w:val="center"/>
          </w:tcPr>
          <w:p>
            <w:pPr>
              <w:pStyle w:val="Small"/>
            </w:pPr>
            <w:r>
              <w:t xml:space="preserve">Kvalita (QA)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0"/>
        <w:gridCol w:w="3930"/>
        <w:gridCol w:w="3023"/>
        <w:gridCol w:w="2268"/>
        <w:gridCol w:w="2779"/>
      </w:tblGrid>
      <w:tr>
        <w:tc>
          <w:tcPr>
            <w:shd w:val="clear" w:color="auto" w:fill="EAF0F3"/>
            <w:vAlign w:val="center"/>
          </w:tcPr>
          <w:p>
            <w:pPr>
              <w:pStyle w:val="Small"/>
            </w:pP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Meno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Funkcia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Dátum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Podpis</w:t>
            </w:r>
          </w:p>
        </w:tc>
      </w:tr>
      <w:tr>
        <w:tc>
          <w:tcPr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Vypracoval</w:t>
            </w: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</w:tr>
      <w:tr>
        <w:tc>
          <w:tcPr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Preskúmal</w:t>
            </w: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</w:tr>
      <w:tr>
        <w:tc>
          <w:tcPr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Schválil</w:t>
            </w: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</w:tr>
    </w:tbl>
    <w:p/>
    <w:p>
      <w:pPr>
        <w:pStyle w:val="Heading1"/>
        <w:keepNext/>
      </w:pPr>
      <w:r>
        <w:t xml:space="preserve">1. Pokyny</w:t>
      </w:r>
    </w:p>
    <w:p>
      <w:pPr>
        <w:pStyle w:val="ListParagraph"/>
        <w:numPr>
          <w:ilvl w:val="0"/>
          <w:numId w:val="1"/>
        </w:numPr>
      </w:pPr>
      <w:r>
        <w:t xml:space="preserve">Test vykoná určená osoba podľa krokov, výsledok zapíše („vyhovel / nevyhovel“), priloží dôkaz (snímka obrazovky, export) a podpíše s dátumom.</w:t>
      </w:r>
    </w:p>
    <w:p>
      <w:pPr>
        <w:pStyle w:val="ListParagraph"/>
        <w:numPr>
          <w:ilvl w:val="0"/>
          <w:numId w:val="1"/>
        </w:numPr>
      </w:pPr>
      <w:r>
        <w:t xml:space="preserve">Nevyhovujúci výsledok = odchýlka: opíše sa v kap. 5 a posúdi.</w:t>
      </w:r>
    </w:p>
    <w:p>
      <w:pPr>
        <w:pStyle w:val="ListParagraph"/>
        <w:numPr>
          <w:ilvl w:val="0"/>
          <w:numId w:val="1"/>
        </w:numPr>
      </w:pPr>
      <w:r>
        <w:t xml:space="preserve">Automatický dôkaz: každá verzia aplikácie prechádza úplným automatickým testom (výpis „All e2e checks passed“ a snímky obrazovky z CI, verzia </w:t>
      </w:r>
      <w:r>
        <w:rPr>
          <w:highlight w:val="yellow"/>
        </w:rPr>
        <w:t xml:space="preserve">[DOPLNIŤ]</w:t>
      </w:r>
      <w:r>
        <w:t xml:space="preserve">); priložiť výpis k protokolu.</w:t>
      </w:r>
    </w:p>
    <w:p>
      <w:pPr>
        <w:pStyle w:val="Heading1"/>
        <w:keepNext/>
      </w:pPr>
      <w:r>
        <w:t xml:space="preserve">2. Kvalifikácia inštalácie (IQ)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8"/>
        <w:gridCol w:w="2268"/>
        <w:gridCol w:w="4535"/>
        <w:gridCol w:w="3930"/>
        <w:gridCol w:w="2779"/>
      </w:tblGrid>
      <w:tr>
        <w:trPr>
          <w:tblHeader/>
        </w:trPr>
        <w:tc>
          <w:tcPr>
            <w:tcW w:w="1058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ID</w:t>
            </w:r>
          </w:p>
        </w:tc>
        <w:tc>
          <w:tcPr>
            <w:tcW w:w="2268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Test</w:t>
            </w:r>
          </w:p>
        </w:tc>
        <w:tc>
          <w:tcPr>
            <w:tcW w:w="4535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Postup</w:t>
            </w:r>
          </w:p>
        </w:tc>
        <w:tc>
          <w:tcPr>
            <w:tcW w:w="3930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Očakávaný výsledok</w:t>
            </w:r>
          </w:p>
        </w:tc>
        <w:tc>
          <w:tcPr>
            <w:tcW w:w="2779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Výsledok / podpis / dátum</w:t>
            </w:r>
          </w:p>
        </w:tc>
      </w:tr>
      <w:tr>
        <w:trPr>
          <w:cantSplit/>
        </w:trPr>
        <w:tc>
          <w:tcPr>
            <w:tcW w:w="1058" w:type="dxa"/>
            <w:vAlign w:val="top"/>
          </w:tcPr>
          <w:p>
            <w:pPr>
              <w:pStyle w:val="Small"/>
            </w:pPr>
            <w:r>
              <w:t xml:space="preserve">IQ-01</w:t>
            </w:r>
          </w:p>
        </w:tc>
        <w:tc>
          <w:tcPr>
            <w:tcW w:w="2268" w:type="dxa"/>
            <w:vAlign w:val="top"/>
          </w:tcPr>
          <w:p>
            <w:pPr>
              <w:pStyle w:val="Small"/>
            </w:pPr>
            <w:r>
              <w:t xml:space="preserve">Inštalačný súbor</w:t>
            </w:r>
          </w:p>
        </w:tc>
        <w:tc>
          <w:tcPr>
            <w:tcW w:w="4535" w:type="dxa"/>
            <w:vAlign w:val="top"/>
          </w:tcPr>
          <w:p>
            <w:pPr>
              <w:pStyle w:val="Small"/>
            </w:pPr>
            <w:r>
              <w:t xml:space="preserve">Zaznamenať verziu aplikácie, názov a SHA-256 inštalačného súboru.</w:t>
            </w:r>
          </w:p>
        </w:tc>
        <w:tc>
          <w:tcPr>
            <w:tcW w:w="3930" w:type="dxa"/>
            <w:vAlign w:val="top"/>
          </w:tcPr>
          <w:p>
            <w:pPr>
              <w:pStyle w:val="Small"/>
            </w:pPr>
            <w:r>
              <w:t xml:space="preserve">Verzia a odtlačok zhodné s uvoľnenou verziou.</w:t>
            </w:r>
          </w:p>
        </w:tc>
        <w:tc>
          <w:tcPr>
            <w:tcW w:w="2779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1058" w:type="dxa"/>
            <w:vAlign w:val="top"/>
          </w:tcPr>
          <w:p>
            <w:pPr>
              <w:pStyle w:val="Small"/>
            </w:pPr>
            <w:r>
              <w:t xml:space="preserve">IQ-02</w:t>
            </w:r>
          </w:p>
        </w:tc>
        <w:tc>
          <w:tcPr>
            <w:tcW w:w="2268" w:type="dxa"/>
            <w:vAlign w:val="top"/>
          </w:tcPr>
          <w:p>
            <w:pPr>
              <w:pStyle w:val="Small"/>
            </w:pPr>
            <w:r>
              <w:t xml:space="preserve">Inštalácia na počítače</w:t>
            </w:r>
          </w:p>
        </w:tc>
        <w:tc>
          <w:tcPr>
            <w:tcW w:w="4535" w:type="dxa"/>
            <w:vAlign w:val="top"/>
          </w:tcPr>
          <w:p>
            <w:pPr>
              <w:pStyle w:val="Small"/>
            </w:pPr>
            <w:r>
              <w:t xml:space="preserve">Nainštalovať na každý počítač; zaznamenať názov počítača a verziu (Nastavenia → O aplikácii).</w:t>
            </w:r>
          </w:p>
        </w:tc>
        <w:tc>
          <w:tcPr>
            <w:tcW w:w="3930" w:type="dxa"/>
            <w:vAlign w:val="top"/>
          </w:tcPr>
          <w:p>
            <w:pPr>
              <w:pStyle w:val="Small"/>
            </w:pPr>
            <w:r>
              <w:t xml:space="preserve">Aplikácia sa spustí, verzia zhodná.</w:t>
            </w:r>
          </w:p>
        </w:tc>
        <w:tc>
          <w:tcPr>
            <w:tcW w:w="2779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1058" w:type="dxa"/>
            <w:vAlign w:val="top"/>
          </w:tcPr>
          <w:p>
            <w:pPr>
              <w:pStyle w:val="Small"/>
            </w:pPr>
            <w:r>
              <w:t xml:space="preserve">IQ-03</w:t>
            </w:r>
          </w:p>
        </w:tc>
        <w:tc>
          <w:tcPr>
            <w:tcW w:w="2268" w:type="dxa"/>
            <w:vAlign w:val="top"/>
          </w:tcPr>
          <w:p>
            <w:pPr>
              <w:pStyle w:val="Small"/>
            </w:pPr>
            <w:r>
              <w:t xml:space="preserve">Priečinok archívu</w:t>
            </w:r>
          </w:p>
        </w:tc>
        <w:tc>
          <w:tcPr>
            <w:tcW w:w="4535" w:type="dxa"/>
            <w:vAlign w:val="top"/>
          </w:tcPr>
          <w:p>
            <w:pPr>
              <w:pStyle w:val="Small"/>
            </w:pPr>
            <w:r>
              <w:t xml:space="preserve">Overiť umiestnenie na firemnom sieťovom disku, nie v cloude; práva na zápis pre používateľov.</w:t>
            </w:r>
          </w:p>
        </w:tc>
        <w:tc>
          <w:tcPr>
            <w:tcW w:w="3930" w:type="dxa"/>
            <w:vAlign w:val="top"/>
          </w:tcPr>
          <w:p>
            <w:pPr>
              <w:pStyle w:val="Small"/>
            </w:pPr>
            <w:r>
              <w:t xml:space="preserve">Aplikácia neupozorňuje na cloud; všetci určení používatelia môžu pracovať.</w:t>
            </w:r>
          </w:p>
        </w:tc>
        <w:tc>
          <w:tcPr>
            <w:tcW w:w="2779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1058" w:type="dxa"/>
            <w:vAlign w:val="top"/>
          </w:tcPr>
          <w:p>
            <w:pPr>
              <w:pStyle w:val="Small"/>
            </w:pPr>
            <w:r>
              <w:t xml:space="preserve">IQ-04</w:t>
            </w:r>
          </w:p>
        </w:tc>
        <w:tc>
          <w:tcPr>
            <w:tcW w:w="2268" w:type="dxa"/>
            <w:vAlign w:val="top"/>
          </w:tcPr>
          <w:p>
            <w:pPr>
              <w:pStyle w:val="Small"/>
            </w:pPr>
            <w:r>
              <w:t xml:space="preserve">Prvé spustenie</w:t>
            </w:r>
          </w:p>
        </w:tc>
        <w:tc>
          <w:tcPr>
            <w:tcW w:w="4535" w:type="dxa"/>
            <w:vAlign w:val="top"/>
          </w:tcPr>
          <w:p>
            <w:pPr>
              <w:pStyle w:val="Small"/>
            </w:pPr>
            <w:r>
              <w:t xml:space="preserve">Vytvoriť profil správcu; vytlačiť a uložiť kód na obnovenie; vyplniť profil spoločnosti.</w:t>
            </w:r>
          </w:p>
        </w:tc>
        <w:tc>
          <w:tcPr>
            <w:tcW w:w="3930" w:type="dxa"/>
            <w:vAlign w:val="top"/>
          </w:tcPr>
          <w:p>
            <w:pPr>
              <w:pStyle w:val="Small"/>
            </w:pPr>
            <w:r>
              <w:t xml:space="preserve">Kód uložený na určenom mieste; profil vyplnený.</w:t>
            </w:r>
          </w:p>
        </w:tc>
        <w:tc>
          <w:tcPr>
            <w:tcW w:w="2779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1058" w:type="dxa"/>
            <w:vAlign w:val="top"/>
          </w:tcPr>
          <w:p>
            <w:pPr>
              <w:pStyle w:val="Small"/>
            </w:pPr>
            <w:r>
              <w:t xml:space="preserve">IQ-05</w:t>
            </w:r>
          </w:p>
        </w:tc>
        <w:tc>
          <w:tcPr>
            <w:tcW w:w="2268" w:type="dxa"/>
            <w:vAlign w:val="top"/>
          </w:tcPr>
          <w:p>
            <w:pPr>
              <w:pStyle w:val="Small"/>
            </w:pPr>
            <w:r>
              <w:t xml:space="preserve">Zálohovanie priečinka</w:t>
            </w:r>
          </w:p>
        </w:tc>
        <w:tc>
          <w:tcPr>
            <w:tcW w:w="4535" w:type="dxa"/>
            <w:vAlign w:val="top"/>
          </w:tcPr>
          <w:p>
            <w:pPr>
              <w:pStyle w:val="Small"/>
            </w:pPr>
            <w:r>
              <w:t xml:space="preserve">IT nastaví zálohovanie priečinka archívu; vykonať skúšobnú obnovu do iného priečinka a otvoriť ju.</w:t>
            </w:r>
          </w:p>
        </w:tc>
        <w:tc>
          <w:tcPr>
            <w:tcW w:w="3930" w:type="dxa"/>
            <w:vAlign w:val="top"/>
          </w:tcPr>
          <w:p>
            <w:pPr>
              <w:pStyle w:val="Small"/>
            </w:pPr>
            <w:r>
              <w:t xml:space="preserve">Obnovený archív sa otvorí heslom; dokumenty sú čitateľné.</w:t>
            </w:r>
          </w:p>
        </w:tc>
        <w:tc>
          <w:tcPr>
            <w:tcW w:w="2779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1058" w:type="dxa"/>
            <w:vAlign w:val="top"/>
          </w:tcPr>
          <w:p>
            <w:pPr>
              <w:pStyle w:val="Small"/>
            </w:pPr>
            <w:r>
              <w:t xml:space="preserve">IQ-06</w:t>
            </w:r>
          </w:p>
        </w:tc>
        <w:tc>
          <w:tcPr>
            <w:tcW w:w="2268" w:type="dxa"/>
            <w:vAlign w:val="top"/>
          </w:tcPr>
          <w:p>
            <w:pPr>
              <w:pStyle w:val="Small"/>
            </w:pPr>
            <w:r>
              <w:t xml:space="preserve">Čas počítačov</w:t>
            </w:r>
          </w:p>
        </w:tc>
        <w:tc>
          <w:tcPr>
            <w:tcW w:w="4535" w:type="dxa"/>
            <w:vAlign w:val="top"/>
          </w:tcPr>
          <w:p>
            <w:pPr>
              <w:pStyle w:val="Small"/>
            </w:pPr>
            <w:r>
              <w:t xml:space="preserve">Overiť, že počítače majú synchronizovaný čas (doména / NTP).</w:t>
            </w:r>
          </w:p>
        </w:tc>
        <w:tc>
          <w:tcPr>
            <w:tcW w:w="3930" w:type="dxa"/>
            <w:vAlign w:val="top"/>
          </w:tcPr>
          <w:p>
            <w:pPr>
              <w:pStyle w:val="Small"/>
            </w:pPr>
            <w:r>
              <w:t xml:space="preserve">Rozdiel času do 1 minúty.</w:t>
            </w:r>
          </w:p>
        </w:tc>
        <w:tc>
          <w:tcPr>
            <w:tcW w:w="2779" w:type="dxa"/>
            <w:vAlign w:val="top"/>
          </w:tcPr>
          <w:p>
            <w:pPr>
              <w:pStyle w:val="Small"/>
            </w:pPr>
          </w:p>
        </w:tc>
      </w:tr>
    </w:tbl>
    <w:p/>
    <w:p>
      <w:pPr>
        <w:pStyle w:val="Heading1"/>
        <w:keepNext/>
      </w:pPr>
      <w:r>
        <w:t xml:space="preserve">3. Prevádzková kvalifikácia (OQ)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3"/>
        <w:gridCol w:w="1738"/>
        <w:gridCol w:w="3628"/>
        <w:gridCol w:w="3175"/>
        <w:gridCol w:w="2570"/>
        <w:gridCol w:w="2476"/>
      </w:tblGrid>
      <w:tr>
        <w:trPr>
          <w:tblHeader/>
        </w:trPr>
        <w:tc>
          <w:tcPr>
            <w:tcW w:w="983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ID</w:t>
            </w:r>
          </w:p>
        </w:tc>
        <w:tc>
          <w:tcPr>
            <w:tcW w:w="1738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Test</w:t>
            </w:r>
          </w:p>
        </w:tc>
        <w:tc>
          <w:tcPr>
            <w:tcW w:w="3628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Postup</w:t>
            </w:r>
          </w:p>
        </w:tc>
        <w:tc>
          <w:tcPr>
            <w:tcW w:w="3175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Očakávaný výsledok</w:t>
            </w:r>
          </w:p>
        </w:tc>
        <w:tc>
          <w:tcPr>
            <w:tcW w:w="2570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Automatický dôkaz</w:t>
            </w:r>
          </w:p>
        </w:tc>
        <w:tc>
          <w:tcPr>
            <w:tcW w:w="2476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Výsledok / podpis / dátum</w:t>
            </w:r>
          </w:p>
        </w:tc>
      </w:tr>
      <w:tr>
        <w:trPr>
          <w:cantSplit/>
        </w:trPr>
        <w:tc>
          <w:tcPr>
            <w:tcW w:w="983" w:type="dxa"/>
            <w:vAlign w:val="top"/>
          </w:tcPr>
          <w:p>
            <w:pPr>
              <w:pStyle w:val="Small"/>
            </w:pPr>
            <w:r>
              <w:t xml:space="preserve">OQ-01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Import a údaje dokumentu</w:t>
            </w:r>
          </w:p>
        </w:tc>
        <w:tc>
          <w:tcPr>
            <w:tcW w:w="3628" w:type="dxa"/>
            <w:vAlign w:val="top"/>
          </w:tcPr>
          <w:p>
            <w:pPr>
              <w:pStyle w:val="Small"/>
            </w:pPr>
            <w:r>
              <w:t xml:space="preserve">Importovať PDF, Word a OpenDocument; skontrolovať navrhnutý kód, názov, verziu, dátumy; uložiť.</w:t>
            </w:r>
          </w:p>
        </w:tc>
        <w:tc>
          <w:tcPr>
            <w:tcW w:w="3175" w:type="dxa"/>
            <w:vAlign w:val="top"/>
          </w:tcPr>
          <w:p>
            <w:pPr>
              <w:pStyle w:val="Small"/>
            </w:pPr>
            <w:r>
              <w:t xml:space="preserve">Dokumenty sú v zozname so správnymi údajmi a stavom.</w:t>
            </w:r>
          </w:p>
        </w:tc>
        <w:tc>
          <w:tcPr>
            <w:tcW w:w="2570" w:type="dxa"/>
            <w:vAlign w:val="top"/>
          </w:tcPr>
          <w:p>
            <w:pPr>
              <w:pStyle w:val="Small"/>
            </w:pPr>
            <w:r>
              <w:t xml:space="preserve">E2E: import 6 súborov; „import table“</w:t>
            </w:r>
          </w:p>
        </w:tc>
        <w:tc>
          <w:tcPr>
            <w:tcW w:w="2476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983" w:type="dxa"/>
            <w:vAlign w:val="top"/>
          </w:tcPr>
          <w:p>
            <w:pPr>
              <w:pStyle w:val="Small"/>
            </w:pPr>
            <w:r>
              <w:t xml:space="preserve">OQ-02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Nová verzia, história</w:t>
            </w:r>
          </w:p>
        </w:tc>
        <w:tc>
          <w:tcPr>
            <w:tcW w:w="3628" w:type="dxa"/>
            <w:vAlign w:val="top"/>
          </w:tcPr>
          <w:p>
            <w:pPr>
              <w:pStyle w:val="Small"/>
            </w:pPr>
            <w:r>
              <w:t xml:space="preserve">Nahrať novú verziu dokumentu; otvoriť dokument.</w:t>
            </w:r>
          </w:p>
        </w:tc>
        <w:tc>
          <w:tcPr>
            <w:tcW w:w="3175" w:type="dxa"/>
            <w:vAlign w:val="top"/>
          </w:tcPr>
          <w:p>
            <w:pPr>
              <w:pStyle w:val="Small"/>
            </w:pPr>
            <w:r>
              <w:t xml:space="preserve">Stará verzia je nahradená, nie zmenená; otvorí sa kópia len na čítanie.</w:t>
            </w:r>
          </w:p>
        </w:tc>
        <w:tc>
          <w:tcPr>
            <w:tcW w:w="2570" w:type="dxa"/>
            <w:vAlign w:val="top"/>
          </w:tcPr>
          <w:p>
            <w:pPr>
              <w:pStyle w:val="Small"/>
            </w:pPr>
            <w:r>
              <w:t xml:space="preserve">E2E: „Nová verzia“ v histórii</w:t>
            </w:r>
          </w:p>
        </w:tc>
        <w:tc>
          <w:tcPr>
            <w:tcW w:w="2476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983" w:type="dxa"/>
            <w:vAlign w:val="top"/>
          </w:tcPr>
          <w:p>
            <w:pPr>
              <w:pStyle w:val="Small"/>
            </w:pPr>
            <w:r>
              <w:t xml:space="preserve">OQ-03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Roly a oprávnenia</w:t>
            </w:r>
          </w:p>
        </w:tc>
        <w:tc>
          <w:tcPr>
            <w:tcW w:w="3628" w:type="dxa"/>
            <w:vAlign w:val="top"/>
          </w:tcPr>
          <w:p>
            <w:pPr>
              <w:pStyle w:val="Small"/>
            </w:pPr>
            <w:r>
              <w:t xml:space="preserve">Prihlásiť sa ako Čitateľ; skúsiť zmeniť údaje dokumentu (aj priamo cez jadro).</w:t>
            </w:r>
          </w:p>
        </w:tc>
        <w:tc>
          <w:tcPr>
            <w:tcW w:w="3175" w:type="dxa"/>
            <w:vAlign w:val="top"/>
          </w:tcPr>
          <w:p>
            <w:pPr>
              <w:pStyle w:val="Small"/>
            </w:pPr>
            <w:r>
              <w:t xml:space="preserve">Zmena je odmietnutá.</w:t>
            </w:r>
          </w:p>
        </w:tc>
        <w:tc>
          <w:tcPr>
            <w:tcW w:w="2570" w:type="dxa"/>
            <w:vAlign w:val="top"/>
          </w:tcPr>
          <w:p>
            <w:pPr>
              <w:pStyle w:val="Small"/>
            </w:pPr>
            <w:r>
              <w:t xml:space="preserve">E2E: „reader cannot change anything (UI and core)“</w:t>
            </w:r>
          </w:p>
        </w:tc>
        <w:tc>
          <w:tcPr>
            <w:tcW w:w="2476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983" w:type="dxa"/>
            <w:vAlign w:val="top"/>
          </w:tcPr>
          <w:p>
            <w:pPr>
              <w:pStyle w:val="Small"/>
            </w:pPr>
            <w:r>
              <w:t xml:space="preserve">OQ-04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Heslá a prihlásenie</w:t>
            </w:r>
          </w:p>
        </w:tc>
        <w:tc>
          <w:tcPr>
            <w:tcW w:w="3628" w:type="dxa"/>
            <w:vAlign w:val="top"/>
          </w:tcPr>
          <w:p>
            <w:pPr>
              <w:pStyle w:val="Small"/>
            </w:pPr>
            <w:r>
              <w:t xml:space="preserve">Nesprávne heslo 5×; nový používateľ s heslom od správcu; prihlásiť sa.</w:t>
            </w:r>
          </w:p>
        </w:tc>
        <w:tc>
          <w:tcPr>
            <w:tcW w:w="3175" w:type="dxa"/>
            <w:vAlign w:val="top"/>
          </w:tcPr>
          <w:p>
            <w:pPr>
              <w:pStyle w:val="Small"/>
            </w:pPr>
            <w:r>
              <w:t xml:space="preserve">Zablokovanie na chvíľu, zaznamenané; pri prvom prihlásení vynútená zmena hesla, rovnaké heslo odmietnuté.</w:t>
            </w:r>
          </w:p>
        </w:tc>
        <w:tc>
          <w:tcPr>
            <w:tcW w:w="2570" w:type="dxa"/>
            <w:vAlign w:val="top"/>
          </w:tcPr>
          <w:p>
            <w:pPr>
              <w:pStyle w:val="Small"/>
            </w:pPr>
            <w:r>
              <w:t xml:space="preserve">E2E: „wrong password rejected and audited“; vynútená zmena hesla</w:t>
            </w:r>
          </w:p>
        </w:tc>
        <w:tc>
          <w:tcPr>
            <w:tcW w:w="2476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983" w:type="dxa"/>
            <w:vAlign w:val="top"/>
          </w:tcPr>
          <w:p>
            <w:pPr>
              <w:pStyle w:val="Small"/>
            </w:pPr>
            <w:r>
              <w:t xml:space="preserve">OQ-05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Potvrdenie „prečítal som“</w:t>
            </w:r>
          </w:p>
        </w:tc>
        <w:tc>
          <w:tcPr>
            <w:tcW w:w="3628" w:type="dxa"/>
            <w:vAlign w:val="top"/>
          </w:tcPr>
          <w:p>
            <w:pPr>
              <w:pStyle w:val="Small"/>
            </w:pPr>
            <w:r>
              <w:t xml:space="preserve">Zamestnanec potvrdí dokument nesprávnym a potom správnym heslom.</w:t>
            </w:r>
          </w:p>
        </w:tc>
        <w:tc>
          <w:tcPr>
            <w:tcW w:w="3175" w:type="dxa"/>
            <w:vAlign w:val="top"/>
          </w:tcPr>
          <w:p>
            <w:pPr>
              <w:pStyle w:val="Small"/>
            </w:pPr>
            <w:r>
              <w:t xml:space="preserve">Nesprávne heslo odmietnuté; záznam s menom a časom.</w:t>
            </w:r>
          </w:p>
        </w:tc>
        <w:tc>
          <w:tcPr>
            <w:tcW w:w="2570" w:type="dxa"/>
            <w:vAlign w:val="top"/>
          </w:tcPr>
          <w:p>
            <w:pPr>
              <w:pStyle w:val="Small"/>
            </w:pPr>
            <w:r>
              <w:t xml:space="preserve">E2E: „reading confirmed with the own password“</w:t>
            </w:r>
          </w:p>
        </w:tc>
        <w:tc>
          <w:tcPr>
            <w:tcW w:w="2476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983" w:type="dxa"/>
            <w:vAlign w:val="top"/>
          </w:tcPr>
          <w:p>
            <w:pPr>
              <w:pStyle w:val="Small"/>
            </w:pPr>
            <w:r>
              <w:t xml:space="preserve">OQ-06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Auditný záznam</w:t>
            </w:r>
          </w:p>
        </w:tc>
        <w:tc>
          <w:tcPr>
            <w:tcW w:w="3628" w:type="dxa"/>
            <w:vAlign w:val="top"/>
          </w:tcPr>
          <w:p>
            <w:pPr>
              <w:pStyle w:val="Small"/>
            </w:pPr>
            <w:r>
              <w:t xml:space="preserve">Vykonať zmeny; otvoriť Auditný záznam; filtrovať podľa dokumentu a „len zmeny“; exportovať PDF a Excel; overiť úplnosť.</w:t>
            </w:r>
          </w:p>
        </w:tc>
        <w:tc>
          <w:tcPr>
            <w:tcW w:w="3175" w:type="dxa"/>
            <w:vAlign w:val="top"/>
          </w:tcPr>
          <w:p>
            <w:pPr>
              <w:pStyle w:val="Small"/>
            </w:pPr>
            <w:r>
              <w:t xml:space="preserve">Záznamy s menom, počítačom, časom; export obsahuje filter; úplnosť overená.</w:t>
            </w:r>
          </w:p>
        </w:tc>
        <w:tc>
          <w:tcPr>
            <w:tcW w:w="2570" w:type="dxa"/>
            <w:vAlign w:val="top"/>
          </w:tcPr>
          <w:p>
            <w:pPr>
              <w:pStyle w:val="Small"/>
            </w:pPr>
            <w:r>
              <w:t xml:space="preserve">E2E: „audit trail: filtered…, exported…“; test reťaze (unit)</w:t>
            </w:r>
          </w:p>
        </w:tc>
        <w:tc>
          <w:tcPr>
            <w:tcW w:w="2476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983" w:type="dxa"/>
            <w:vAlign w:val="top"/>
          </w:tcPr>
          <w:p>
            <w:pPr>
              <w:pStyle w:val="Small"/>
            </w:pPr>
            <w:r>
              <w:t xml:space="preserve">OQ-07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Šifrovanie a sieť</w:t>
            </w:r>
          </w:p>
        </w:tc>
        <w:tc>
          <w:tcPr>
            <w:tcW w:w="3628" w:type="dxa"/>
            <w:vAlign w:val="top"/>
          </w:tcPr>
          <w:p>
            <w:pPr>
              <w:pStyle w:val="Small"/>
            </w:pPr>
            <w:r>
              <w:t xml:space="preserve">Skontrolovať súbory archívu bez aplikácie; skúsiť z rozhrania otvoriť internetovú stránku; pozrieť Sieťovú aktivitu.</w:t>
            </w:r>
          </w:p>
        </w:tc>
        <w:tc>
          <w:tcPr>
            <w:tcW w:w="3175" w:type="dxa"/>
            <w:vAlign w:val="top"/>
          </w:tcPr>
          <w:p>
            <w:pPr>
              <w:pStyle w:val="Small"/>
            </w:pPr>
            <w:r>
              <w:t xml:space="preserve">Obsah nečitateľný; rozhranie bez internetu; zoznam len povolených spojení.</w:t>
            </w:r>
          </w:p>
        </w:tc>
        <w:tc>
          <w:tcPr>
            <w:tcW w:w="2570" w:type="dxa"/>
            <w:vAlign w:val="top"/>
          </w:tcPr>
          <w:p>
            <w:pPr>
              <w:pStyle w:val="Small"/>
            </w:pPr>
            <w:r>
              <w:t xml:space="preserve">E2E: „archive folder encrypted“, „UI cannot reach the internet“</w:t>
            </w:r>
          </w:p>
        </w:tc>
        <w:tc>
          <w:tcPr>
            <w:tcW w:w="2476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983" w:type="dxa"/>
            <w:vAlign w:val="top"/>
          </w:tcPr>
          <w:p>
            <w:pPr>
              <w:pStyle w:val="Small"/>
            </w:pPr>
            <w:r>
              <w:t xml:space="preserve">OQ-08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Schvaľovanie</w:t>
            </w:r>
          </w:p>
        </w:tc>
        <w:tc>
          <w:tcPr>
            <w:tcW w:w="3628" w:type="dxa"/>
            <w:vAlign w:val="top"/>
          </w:tcPr>
          <w:p>
            <w:pPr>
              <w:pStyle w:val="Small"/>
            </w:pPr>
            <w:r>
              <w:t xml:space="preserve">Odoslať verziu na schválenie; podpísať nesprávnym a správnym heslom; zamietnuť bez dôvodu.</w:t>
            </w:r>
          </w:p>
        </w:tc>
        <w:tc>
          <w:tcPr>
            <w:tcW w:w="3175" w:type="dxa"/>
            <w:vAlign w:val="top"/>
          </w:tcPr>
          <w:p>
            <w:pPr>
              <w:pStyle w:val="Small"/>
            </w:pPr>
            <w:r>
              <w:t xml:space="preserve">Nesprávne heslo odmietnuté; platná po podpise; zamietnutie bez dôvodu nemožné.</w:t>
            </w:r>
          </w:p>
        </w:tc>
        <w:tc>
          <w:tcPr>
            <w:tcW w:w="2570" w:type="dxa"/>
            <w:vAlign w:val="top"/>
          </w:tcPr>
          <w:p>
            <w:pPr>
              <w:pStyle w:val="Small"/>
            </w:pPr>
            <w:r>
              <w:t xml:space="preserve">E2E: „approval signed with the own password“</w:t>
            </w:r>
          </w:p>
        </w:tc>
        <w:tc>
          <w:tcPr>
            <w:tcW w:w="2476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983" w:type="dxa"/>
            <w:vAlign w:val="top"/>
          </w:tcPr>
          <w:p>
            <w:pPr>
              <w:pStyle w:val="Small"/>
            </w:pPr>
            <w:r>
              <w:t xml:space="preserve">OQ-09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Riadené a neriadené kópie</w:t>
            </w:r>
          </w:p>
        </w:tc>
        <w:tc>
          <w:tcPr>
            <w:tcW w:w="3628" w:type="dxa"/>
            <w:vAlign w:val="top"/>
          </w:tcPr>
          <w:p>
            <w:pPr>
              <w:pStyle w:val="Small"/>
            </w:pPr>
            <w:r>
              <w:t xml:space="preserve">Vydať riadenú kópiu PDF; uložiť kópiu dokumentu; nahrať novú verziu.</w:t>
            </w:r>
          </w:p>
        </w:tc>
        <w:tc>
          <w:tcPr>
            <w:tcW w:w="3175" w:type="dxa"/>
            <w:vAlign w:val="top"/>
          </w:tcPr>
          <w:p>
            <w:pPr>
              <w:pStyle w:val="Small"/>
            </w:pPr>
            <w:r>
              <w:t xml:space="preserve">PDF s pečiatkou „Riadená kópia č.“; uložená kópia „NERIADENÁ KÓPIA“; kópia na stiahnutie.</w:t>
            </w:r>
          </w:p>
        </w:tc>
        <w:tc>
          <w:tcPr>
            <w:tcW w:w="2570" w:type="dxa"/>
            <w:vAlign w:val="top"/>
          </w:tcPr>
          <w:p>
            <w:pPr>
              <w:pStyle w:val="Small"/>
            </w:pPr>
            <w:r>
              <w:t xml:space="preserve">E2E: „controlled copy stamped…; other copies marked uncontrolled“</w:t>
            </w:r>
          </w:p>
        </w:tc>
        <w:tc>
          <w:tcPr>
            <w:tcW w:w="2476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983" w:type="dxa"/>
            <w:vAlign w:val="top"/>
          </w:tcPr>
          <w:p>
            <w:pPr>
              <w:pStyle w:val="Small"/>
            </w:pPr>
            <w:r>
              <w:t xml:space="preserve">OQ-10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Školenia a podpisový hárok</w:t>
            </w:r>
          </w:p>
        </w:tc>
        <w:tc>
          <w:tcPr>
            <w:tcW w:w="3628" w:type="dxa"/>
            <w:vAlign w:val="top"/>
          </w:tcPr>
          <w:p>
            <w:pPr>
              <w:pStyle w:val="Small"/>
            </w:pPr>
            <w:r>
              <w:t xml:space="preserve">Určiť, kto musí dokument poznať; zaznamenať školenie; nahrať novú verziu; vytlačiť podpisový hárok a zaznamenať podpísaný hárok so skenom.</w:t>
            </w:r>
          </w:p>
        </w:tc>
        <w:tc>
          <w:tcPr>
            <w:tcW w:w="3175" w:type="dxa"/>
            <w:vAlign w:val="top"/>
          </w:tcPr>
          <w:p>
            <w:pPr>
              <w:pStyle w:val="Small"/>
            </w:pPr>
            <w:r>
              <w:t xml:space="preserve">Prehľad zaškolených; nová verzia vyžaduje nové školenie; na hárku sú elektronické podpisy a vopred vyplnení zamestnanci bez aplikácie; po zázname sú zaškolení a sken je pri dokumente.</w:t>
            </w:r>
          </w:p>
        </w:tc>
        <w:tc>
          <w:tcPr>
            <w:tcW w:w="2570" w:type="dxa"/>
            <w:vAlign w:val="top"/>
          </w:tcPr>
          <w:p>
            <w:pPr>
              <w:pStyle w:val="Small"/>
            </w:pPr>
            <w:r>
              <w:t xml:space="preserve">E2E: „training: … recorded“, „signature sheet: …“; unit training, signsheet</w:t>
            </w:r>
          </w:p>
        </w:tc>
        <w:tc>
          <w:tcPr>
            <w:tcW w:w="2476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983" w:type="dxa"/>
            <w:vAlign w:val="top"/>
          </w:tcPr>
          <w:p>
            <w:pPr>
              <w:pStyle w:val="Small"/>
            </w:pPr>
            <w:r>
              <w:t xml:space="preserve">OQ-11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Revízie</w:t>
            </w:r>
          </w:p>
        </w:tc>
        <w:tc>
          <w:tcPr>
            <w:tcW w:w="3628" w:type="dxa"/>
            <w:vAlign w:val="top"/>
          </w:tcPr>
          <w:p>
            <w:pPr>
              <w:pStyle w:val="Small"/>
            </w:pPr>
            <w:r>
              <w:t xml:space="preserve">Zaznamenať revíziu.</w:t>
            </w:r>
          </w:p>
        </w:tc>
        <w:tc>
          <w:tcPr>
            <w:tcW w:w="3175" w:type="dxa"/>
            <w:vAlign w:val="top"/>
          </w:tcPr>
          <w:p>
            <w:pPr>
              <w:pStyle w:val="Small"/>
            </w:pPr>
            <w:r>
              <w:t xml:space="preserve">Ďalší termín posunutý podľa intervalu.</w:t>
            </w:r>
          </w:p>
        </w:tc>
        <w:tc>
          <w:tcPr>
            <w:tcW w:w="2570" w:type="dxa"/>
            <w:vAlign w:val="top"/>
          </w:tcPr>
          <w:p>
            <w:pPr>
              <w:pStyle w:val="Small"/>
            </w:pPr>
            <w:r>
              <w:t xml:space="preserve">E2E: „review recorded, next review date moved“</w:t>
            </w:r>
          </w:p>
        </w:tc>
        <w:tc>
          <w:tcPr>
            <w:tcW w:w="2476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983" w:type="dxa"/>
            <w:vAlign w:val="top"/>
          </w:tcPr>
          <w:p>
            <w:pPr>
              <w:pStyle w:val="Small"/>
            </w:pPr>
            <w:r>
              <w:t xml:space="preserve">OQ-12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Legislatíva</w:t>
            </w:r>
          </w:p>
        </w:tc>
        <w:tc>
          <w:tcPr>
            <w:tcW w:w="3628" w:type="dxa"/>
            <w:vAlign w:val="top"/>
          </w:tcPr>
          <w:p>
            <w:pPr>
              <w:pStyle w:val="Small"/>
            </w:pPr>
            <w:r>
              <w:t xml:space="preserve">Spustiť kontrolu predpisu s novým znením; posúdiť dotknutý dokument; zaznamenať rozhodnutie s dôvodom.</w:t>
            </w:r>
          </w:p>
        </w:tc>
        <w:tc>
          <w:tcPr>
            <w:tcW w:w="3175" w:type="dxa"/>
            <w:vAlign w:val="top"/>
          </w:tcPr>
          <w:p>
            <w:pPr>
              <w:pStyle w:val="Small"/>
            </w:pPr>
            <w:r>
              <w:t xml:space="preserve">Zmenené ustanovenia a dotknuté dokumenty; rozhodnutie s dôvodom.</w:t>
            </w:r>
          </w:p>
        </w:tc>
        <w:tc>
          <w:tcPr>
            <w:tcW w:w="2570" w:type="dxa"/>
            <w:vAlign w:val="top"/>
          </w:tcPr>
          <w:p>
            <w:pPr>
              <w:pStyle w:val="Small"/>
            </w:pPr>
            <w:r>
              <w:t xml:space="preserve">E2E: „monitor: upcoming version, § diff…“, „company precedence…“</w:t>
            </w:r>
          </w:p>
        </w:tc>
        <w:tc>
          <w:tcPr>
            <w:tcW w:w="2476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983" w:type="dxa"/>
            <w:vAlign w:val="top"/>
          </w:tcPr>
          <w:p>
            <w:pPr>
              <w:pStyle w:val="Small"/>
            </w:pPr>
            <w:r>
              <w:t xml:space="preserve">OQ-13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Oznamy úradov a EÚ databáza</w:t>
            </w:r>
          </w:p>
        </w:tc>
        <w:tc>
          <w:tcPr>
            <w:tcW w:w="3628" w:type="dxa"/>
            <w:vAlign w:val="top"/>
          </w:tcPr>
          <w:p>
            <w:pPr>
              <w:pStyle w:val="Small"/>
            </w:pPr>
            <w:r>
              <w:t xml:space="preserve">Načítať oznamy zo všetkých zdrojov; posúdiť oznam o stiahnutí „opatrenia vykonané“ bez a s popisom; zmeniť stav sledovaného lieku v EÚ databáze.</w:t>
            </w:r>
          </w:p>
        </w:tc>
        <w:tc>
          <w:tcPr>
            <w:tcW w:w="3175" w:type="dxa"/>
            <w:vAlign w:val="top"/>
          </w:tcPr>
          <w:p>
            <w:pPr>
              <w:pStyle w:val="Small"/>
            </w:pPr>
            <w:r>
              <w:t xml:space="preserve">Bez popisu odmietnuté; posúdenie s menom a časom; sledovaný výrobok zvýraznený; zmena sledovaného lieku zobrazená ako oznam na posúdenie.</w:t>
            </w:r>
          </w:p>
        </w:tc>
        <w:tc>
          <w:tcPr>
            <w:tcW w:w="2570" w:type="dxa"/>
            <w:vAlign w:val="top"/>
          </w:tcPr>
          <w:p>
            <w:pPr>
              <w:pStyle w:val="Small"/>
            </w:pPr>
            <w:r>
              <w:t xml:space="preserve">E2E: „notices: … recall assessed…“, „EU database: …“</w:t>
            </w:r>
          </w:p>
        </w:tc>
        <w:tc>
          <w:tcPr>
            <w:tcW w:w="2476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983" w:type="dxa"/>
            <w:vAlign w:val="top"/>
          </w:tcPr>
          <w:p>
            <w:pPr>
              <w:pStyle w:val="Small"/>
            </w:pPr>
            <w:r>
              <w:t xml:space="preserve">OQ-14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Odstránenie</w:t>
            </w:r>
          </w:p>
        </w:tc>
        <w:tc>
          <w:tcPr>
            <w:tcW w:w="3628" w:type="dxa"/>
            <w:vAlign w:val="top"/>
          </w:tcPr>
          <w:p>
            <w:pPr>
              <w:pStyle w:val="Small"/>
            </w:pPr>
            <w:r>
              <w:t xml:space="preserve">Skúsiť odstrániť dokument so záznamami; odstrániť nepoužitý dokument; vyprázdniť kôš.</w:t>
            </w:r>
          </w:p>
        </w:tc>
        <w:tc>
          <w:tcPr>
            <w:tcW w:w="3175" w:type="dxa"/>
            <w:vAlign w:val="top"/>
          </w:tcPr>
          <w:p>
            <w:pPr>
              <w:pStyle w:val="Small"/>
            </w:pPr>
            <w:r>
              <w:t xml:space="preserve">Dokument so záznamami sa nedá odstrániť; inak dôvod a dve potvrdenia; zaznamenané.</w:t>
            </w:r>
          </w:p>
        </w:tc>
        <w:tc>
          <w:tcPr>
            <w:tcW w:w="2570" w:type="dxa"/>
            <w:vAlign w:val="top"/>
          </w:tcPr>
          <w:p>
            <w:pPr>
              <w:pStyle w:val="Small"/>
            </w:pPr>
            <w:r>
              <w:t xml:space="preserve">E2E: „delete a document…, empty the trash“</w:t>
            </w:r>
          </w:p>
        </w:tc>
        <w:tc>
          <w:tcPr>
            <w:tcW w:w="2476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983" w:type="dxa"/>
            <w:vAlign w:val="top"/>
          </w:tcPr>
          <w:p>
            <w:pPr>
              <w:pStyle w:val="Small"/>
            </w:pPr>
            <w:r>
              <w:t xml:space="preserve">OQ-15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Viac počítačov naraz</w:t>
            </w:r>
          </w:p>
        </w:tc>
        <w:tc>
          <w:tcPr>
            <w:tcW w:w="3628" w:type="dxa"/>
            <w:vAlign w:val="top"/>
          </w:tcPr>
          <w:p>
            <w:pPr>
              <w:pStyle w:val="Small"/>
            </w:pPr>
            <w:r>
              <w:t xml:space="preserve">Na dvoch počítačoch súčasne meniť ten istý dokument; upraviť údaje zo zastaraného stavu.</w:t>
            </w:r>
          </w:p>
        </w:tc>
        <w:tc>
          <w:tcPr>
            <w:tcW w:w="3175" w:type="dxa"/>
            <w:vAlign w:val="top"/>
          </w:tcPr>
          <w:p>
            <w:pPr>
              <w:pStyle w:val="Small"/>
            </w:pPr>
            <w:r>
              <w:t xml:space="preserve">Obe zmeny zachované; zastaraná úprava odmietnutá s menom; „Naposledy zmenil(a)“.</w:t>
            </w:r>
          </w:p>
        </w:tc>
        <w:tc>
          <w:tcPr>
            <w:tcW w:w="2570" w:type="dxa"/>
            <w:vAlign w:val="top"/>
          </w:tcPr>
          <w:p>
            <w:pPr>
              <w:pStyle w:val="Small"/>
            </w:pPr>
            <w:r>
              <w:t xml:space="preserve">E2E: „two computers change it at the same time…“</w:t>
            </w:r>
          </w:p>
        </w:tc>
        <w:tc>
          <w:tcPr>
            <w:tcW w:w="2476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983" w:type="dxa"/>
            <w:vAlign w:val="top"/>
          </w:tcPr>
          <w:p>
            <w:pPr>
              <w:pStyle w:val="Small"/>
            </w:pPr>
            <w:r>
              <w:t xml:space="preserve">OQ-16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Správa pre inšpekciu</w:t>
            </w:r>
          </w:p>
        </w:tc>
        <w:tc>
          <w:tcPr>
            <w:tcW w:w="3628" w:type="dxa"/>
            <w:vAlign w:val="top"/>
          </w:tcPr>
          <w:p>
            <w:pPr>
              <w:pStyle w:val="Small"/>
            </w:pPr>
            <w:r>
              <w:t xml:space="preserve">Vytvoriť správu PDF a Excel za obdobie.</w:t>
            </w:r>
          </w:p>
        </w:tc>
        <w:tc>
          <w:tcPr>
            <w:tcW w:w="3175" w:type="dxa"/>
            <w:vAlign w:val="top"/>
          </w:tcPr>
          <w:p>
            <w:pPr>
              <w:pStyle w:val="Small"/>
            </w:pPr>
            <w:r>
              <w:t xml:space="preserve">Správa obsahuje register, revízie, legislatívu, rozhodnutia, školenia, schválenia, kópie, oznamy.</w:t>
            </w:r>
          </w:p>
        </w:tc>
        <w:tc>
          <w:tcPr>
            <w:tcW w:w="2570" w:type="dxa"/>
            <w:vAlign w:val="top"/>
          </w:tcPr>
          <w:p>
            <w:pPr>
              <w:pStyle w:val="Small"/>
            </w:pPr>
            <w:r>
              <w:t xml:space="preserve">E2E: „inspection report: PDF … and Excel“</w:t>
            </w:r>
          </w:p>
        </w:tc>
        <w:tc>
          <w:tcPr>
            <w:tcW w:w="2476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983" w:type="dxa"/>
            <w:vAlign w:val="top"/>
          </w:tcPr>
          <w:p>
            <w:pPr>
              <w:pStyle w:val="Small"/>
            </w:pPr>
            <w:r>
              <w:t xml:space="preserve">OQ-17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Čitateľný export</w:t>
            </w:r>
          </w:p>
        </w:tc>
        <w:tc>
          <w:tcPr>
            <w:tcW w:w="3628" w:type="dxa"/>
            <w:vAlign w:val="top"/>
          </w:tcPr>
          <w:p>
            <w:pPr>
              <w:pStyle w:val="Small"/>
            </w:pPr>
            <w:r>
              <w:t xml:space="preserve">Vytvoriť čitateľný export; otvoriť súbory bez aplikácie; overiť odtlačok SHA-256 jedného súboru.</w:t>
            </w:r>
          </w:p>
        </w:tc>
        <w:tc>
          <w:tcPr>
            <w:tcW w:w="3175" w:type="dxa"/>
            <w:vAlign w:val="top"/>
          </w:tcPr>
          <w:p>
            <w:pPr>
              <w:pStyle w:val="Small"/>
            </w:pPr>
            <w:r>
              <w:t xml:space="preserve">Všetky súbory, register s odtlačkami, správa a auditný záznam.</w:t>
            </w:r>
          </w:p>
        </w:tc>
        <w:tc>
          <w:tcPr>
            <w:tcW w:w="2570" w:type="dxa"/>
            <w:vAlign w:val="top"/>
          </w:tcPr>
          <w:p>
            <w:pPr>
              <w:pStyle w:val="Small"/>
            </w:pPr>
            <w:r>
              <w:t xml:space="preserve">E2E: „readable export…“; unit export</w:t>
            </w:r>
          </w:p>
        </w:tc>
        <w:tc>
          <w:tcPr>
            <w:tcW w:w="2476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983" w:type="dxa"/>
            <w:vAlign w:val="top"/>
          </w:tcPr>
          <w:p>
            <w:pPr>
              <w:pStyle w:val="Small"/>
            </w:pPr>
            <w:r>
              <w:t xml:space="preserve">OQ-18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Obnova</w:t>
            </w:r>
          </w:p>
        </w:tc>
        <w:tc>
          <w:tcPr>
            <w:tcW w:w="3628" w:type="dxa"/>
            <w:vAlign w:val="top"/>
          </w:tcPr>
          <w:p>
            <w:pPr>
              <w:pStyle w:val="Small"/>
            </w:pPr>
            <w:r>
              <w:t xml:space="preserve">Obnoviť heslo správcu kódom na obnovenie (nesprávny a správny kód).</w:t>
            </w:r>
          </w:p>
        </w:tc>
        <w:tc>
          <w:tcPr>
            <w:tcW w:w="3175" w:type="dxa"/>
            <w:vAlign w:val="top"/>
          </w:tcPr>
          <w:p>
            <w:pPr>
              <w:pStyle w:val="Small"/>
            </w:pPr>
            <w:r>
              <w:t xml:space="preserve">Nesprávny kód odmietnutý; správny nastaví nové heslo.</w:t>
            </w:r>
          </w:p>
        </w:tc>
        <w:tc>
          <w:tcPr>
            <w:tcW w:w="2570" w:type="dxa"/>
            <w:vAlign w:val="top"/>
          </w:tcPr>
          <w:p>
            <w:pPr>
              <w:pStyle w:val="Small"/>
            </w:pPr>
            <w:r>
              <w:t xml:space="preserve">E2E: „recovery code…“; unit „damaged archive.json is restored“</w:t>
            </w:r>
          </w:p>
        </w:tc>
        <w:tc>
          <w:tcPr>
            <w:tcW w:w="2476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983" w:type="dxa"/>
            <w:vAlign w:val="top"/>
          </w:tcPr>
          <w:p>
            <w:pPr>
              <w:pStyle w:val="Small"/>
            </w:pPr>
            <w:r>
              <w:t xml:space="preserve">OQ-19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Vyhľadávanie a OCR</w:t>
            </w:r>
          </w:p>
        </w:tc>
        <w:tc>
          <w:tcPr>
            <w:tcW w:w="3628" w:type="dxa"/>
            <w:vAlign w:val="top"/>
          </w:tcPr>
          <w:p>
            <w:pPr>
              <w:pStyle w:val="Small"/>
            </w:pPr>
            <w:r>
              <w:t xml:space="preserve">Hľadať slovo bez diakritiky; importovať naskenované PDF.</w:t>
            </w:r>
          </w:p>
        </w:tc>
        <w:tc>
          <w:tcPr>
            <w:tcW w:w="3175" w:type="dxa"/>
            <w:vAlign w:val="top"/>
          </w:tcPr>
          <w:p>
            <w:pPr>
              <w:pStyle w:val="Small"/>
            </w:pPr>
            <w:r>
              <w:t xml:space="preserve">Nájdené aj tvary slov; text skenu sa dá vyhľadať.</w:t>
            </w:r>
          </w:p>
        </w:tc>
        <w:tc>
          <w:tcPr>
            <w:tcW w:w="2570" w:type="dxa"/>
            <w:vAlign w:val="top"/>
          </w:tcPr>
          <w:p>
            <w:pPr>
              <w:pStyle w:val="Small"/>
            </w:pPr>
            <w:r>
              <w:t xml:space="preserve">E2E: vyhľadávanie; „scanned PDF: text recognised…“</w:t>
            </w:r>
          </w:p>
        </w:tc>
        <w:tc>
          <w:tcPr>
            <w:tcW w:w="2476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983" w:type="dxa"/>
            <w:vAlign w:val="top"/>
          </w:tcPr>
          <w:p>
            <w:pPr>
              <w:pStyle w:val="Small"/>
            </w:pPr>
            <w:r>
              <w:t xml:space="preserve">OQ-20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AI asistent</w:t>
            </w:r>
          </w:p>
        </w:tc>
        <w:tc>
          <w:tcPr>
            <w:tcW w:w="3628" w:type="dxa"/>
            <w:vAlign w:val="top"/>
          </w:tcPr>
          <w:p>
            <w:pPr>
              <w:pStyle w:val="Small"/>
            </w:pPr>
            <w:r>
              <w:t xml:space="preserve">Zapnúť vstavanú AI; Test v Nastaveniach; navrhnúť kapitolu a úpravu odseku.</w:t>
            </w:r>
          </w:p>
        </w:tc>
        <w:tc>
          <w:tcPr>
            <w:tcW w:w="3175" w:type="dxa"/>
            <w:vAlign w:val="top"/>
          </w:tcPr>
          <w:p>
            <w:pPr>
              <w:pStyle w:val="Small"/>
            </w:pPr>
            <w:r>
              <w:t xml:space="preserve">Proces AI bez siete (overené); návrh so zvýraznenými zmenami; nič sa nezmení bez uloženia autorom.</w:t>
            </w:r>
          </w:p>
        </w:tc>
        <w:tc>
          <w:tcPr>
            <w:tcW w:w="2570" w:type="dxa"/>
            <w:vAlign w:val="top"/>
          </w:tcPr>
          <w:p>
            <w:pPr>
              <w:pStyle w:val="Small"/>
            </w:pPr>
            <w:r>
              <w:t xml:space="preserve">E2E: „built-in AI: … no network in the AI process“, „rewrite with AI“</w:t>
            </w:r>
          </w:p>
        </w:tc>
        <w:tc>
          <w:tcPr>
            <w:tcW w:w="2476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983" w:type="dxa"/>
            <w:vAlign w:val="top"/>
          </w:tcPr>
          <w:p>
            <w:pPr>
              <w:pStyle w:val="Small"/>
            </w:pPr>
            <w:r>
              <w:t xml:space="preserve">OQ-21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Aktualizácia programu</w:t>
            </w:r>
          </w:p>
        </w:tc>
        <w:tc>
          <w:tcPr>
            <w:tcW w:w="3628" w:type="dxa"/>
            <w:vAlign w:val="top"/>
          </w:tcPr>
          <w:p>
            <w:pPr>
              <w:pStyle w:val="Small"/>
            </w:pPr>
            <w:r>
              <w:t xml:space="preserve">Ako správca: Nastavenia → O aplikácii → Skontrolovať aktualizácie → Stiahnuť a nainštalovať; po reštarte skontrolovať verziu a auditný záznam.</w:t>
            </w:r>
          </w:p>
        </w:tc>
        <w:tc>
          <w:tcPr>
            <w:tcW w:w="3175" w:type="dxa"/>
            <w:vAlign w:val="top"/>
          </w:tcPr>
          <w:p>
            <w:pPr>
              <w:pStyle w:val="Small"/>
            </w:pPr>
            <w:r>
              <w:t xml:space="preserve">Nová verzia nainštalovaná; zmenený súbor by bol odmietnutý; dokumenty a profily nezmenené; inštalácia a zmena verzie v auditnom zázname.</w:t>
            </w:r>
          </w:p>
        </w:tc>
        <w:tc>
          <w:tcPr>
            <w:tcW w:w="2570" w:type="dxa"/>
            <w:vAlign w:val="top"/>
          </w:tcPr>
          <w:p>
            <w:pPr>
              <w:pStyle w:val="Small"/>
            </w:pPr>
            <w:r>
              <w:t xml:space="preserve">E2E: „one-click update … altered file refused“; CI: aktualizácia na Macu a Windows</w:t>
            </w:r>
          </w:p>
        </w:tc>
        <w:tc>
          <w:tcPr>
            <w:tcW w:w="2476" w:type="dxa"/>
            <w:vAlign w:val="top"/>
          </w:tcPr>
          <w:p>
            <w:pPr>
              <w:pStyle w:val="Small"/>
            </w:pPr>
          </w:p>
        </w:tc>
      </w:tr>
    </w:tbl>
    <w:p/>
    <w:p>
      <w:pPr>
        <w:pStyle w:val="Heading1"/>
        <w:keepNext/>
      </w:pPr>
      <w:r>
        <w:t xml:space="preserve">4. Kvalifikácia výkonu (PQ)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8"/>
        <w:gridCol w:w="2268"/>
        <w:gridCol w:w="4535"/>
        <w:gridCol w:w="3930"/>
        <w:gridCol w:w="2779"/>
      </w:tblGrid>
      <w:tr>
        <w:trPr>
          <w:tblHeader/>
        </w:trPr>
        <w:tc>
          <w:tcPr>
            <w:tcW w:w="1058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ID</w:t>
            </w:r>
          </w:p>
        </w:tc>
        <w:tc>
          <w:tcPr>
            <w:tcW w:w="2268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Test</w:t>
            </w:r>
          </w:p>
        </w:tc>
        <w:tc>
          <w:tcPr>
            <w:tcW w:w="4535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Postup</w:t>
            </w:r>
          </w:p>
        </w:tc>
        <w:tc>
          <w:tcPr>
            <w:tcW w:w="3930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Očakávaný výsledok</w:t>
            </w:r>
          </w:p>
        </w:tc>
        <w:tc>
          <w:tcPr>
            <w:tcW w:w="2779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Výsledok / podpis / dátum</w:t>
            </w:r>
          </w:p>
        </w:tc>
      </w:tr>
      <w:tr>
        <w:trPr>
          <w:cantSplit/>
        </w:trPr>
        <w:tc>
          <w:tcPr>
            <w:tcW w:w="1058" w:type="dxa"/>
            <w:vAlign w:val="top"/>
          </w:tcPr>
          <w:p>
            <w:pPr>
              <w:pStyle w:val="Small"/>
            </w:pPr>
            <w:r>
              <w:t xml:space="preserve">PQ-01</w:t>
            </w:r>
          </w:p>
        </w:tc>
        <w:tc>
          <w:tcPr>
            <w:tcW w:w="2268" w:type="dxa"/>
            <w:vAlign w:val="top"/>
          </w:tcPr>
          <w:p>
            <w:pPr>
              <w:pStyle w:val="Small"/>
            </w:pPr>
            <w:r>
              <w:t xml:space="preserve">Import skutočných dokumentov</w:t>
            </w:r>
          </w:p>
        </w:tc>
        <w:tc>
          <w:tcPr>
            <w:tcW w:w="4535" w:type="dxa"/>
            <w:vAlign w:val="top"/>
          </w:tcPr>
          <w:p>
            <w:pPr>
              <w:pStyle w:val="Small"/>
            </w:pPr>
            <w:r>
              <w:t xml:space="preserve">Importovať kópie platných SOP, ŠPP a OS; skontrolovať kódy, verzie, dátumy.</w:t>
            </w:r>
          </w:p>
        </w:tc>
        <w:tc>
          <w:tcPr>
            <w:tcW w:w="3930" w:type="dxa"/>
            <w:vAlign w:val="top"/>
          </w:tcPr>
          <w:p>
            <w:pPr>
              <w:pStyle w:val="Small"/>
            </w:pPr>
            <w:r>
              <w:t xml:space="preserve">Údaje zodpovedajú dokumentom (opravy zaznamenať).</w:t>
            </w:r>
          </w:p>
        </w:tc>
        <w:tc>
          <w:tcPr>
            <w:tcW w:w="2779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1058" w:type="dxa"/>
            <w:vAlign w:val="top"/>
          </w:tcPr>
          <w:p>
            <w:pPr>
              <w:pStyle w:val="Small"/>
            </w:pPr>
            <w:r>
              <w:t xml:space="preserve">PQ-02</w:t>
            </w:r>
          </w:p>
        </w:tc>
        <w:tc>
          <w:tcPr>
            <w:tcW w:w="2268" w:type="dxa"/>
            <w:vAlign w:val="top"/>
          </w:tcPr>
          <w:p>
            <w:pPr>
              <w:pStyle w:val="Small"/>
            </w:pPr>
            <w:r>
              <w:t xml:space="preserve">Naskenované dokumenty</w:t>
            </w:r>
          </w:p>
        </w:tc>
        <w:tc>
          <w:tcPr>
            <w:tcW w:w="4535" w:type="dxa"/>
            <w:vAlign w:val="top"/>
          </w:tcPr>
          <w:p>
            <w:pPr>
              <w:pStyle w:val="Small"/>
            </w:pPr>
            <w:r>
              <w:t xml:space="preserve">Importovať naskenované dokumenty; po OCR vyhľadať v nich výraz.</w:t>
            </w:r>
          </w:p>
        </w:tc>
        <w:tc>
          <w:tcPr>
            <w:tcW w:w="3930" w:type="dxa"/>
            <w:vAlign w:val="top"/>
          </w:tcPr>
          <w:p>
            <w:pPr>
              <w:pStyle w:val="Small"/>
            </w:pPr>
            <w:r>
              <w:t xml:space="preserve">Text sa nájde.</w:t>
            </w:r>
          </w:p>
        </w:tc>
        <w:tc>
          <w:tcPr>
            <w:tcW w:w="2779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1058" w:type="dxa"/>
            <w:vAlign w:val="top"/>
          </w:tcPr>
          <w:p>
            <w:pPr>
              <w:pStyle w:val="Small"/>
            </w:pPr>
            <w:r>
              <w:t xml:space="preserve">PQ-03</w:t>
            </w:r>
          </w:p>
        </w:tc>
        <w:tc>
          <w:tcPr>
            <w:tcW w:w="2268" w:type="dxa"/>
            <w:vAlign w:val="top"/>
          </w:tcPr>
          <w:p>
            <w:pPr>
              <w:pStyle w:val="Small"/>
            </w:pPr>
            <w:r>
              <w:t xml:space="preserve">Citované predpisy</w:t>
            </w:r>
          </w:p>
        </w:tc>
        <w:tc>
          <w:tcPr>
            <w:tcW w:w="4535" w:type="dxa"/>
            <w:vAlign w:val="top"/>
          </w:tcPr>
          <w:p>
            <w:pPr>
              <w:pStyle w:val="Small"/>
            </w:pPr>
            <w:r>
              <w:t xml:space="preserve">Skontrolovať register predpisov a citácie v dokumentoch.</w:t>
            </w:r>
          </w:p>
        </w:tc>
        <w:tc>
          <w:tcPr>
            <w:tcW w:w="3930" w:type="dxa"/>
            <w:vAlign w:val="top"/>
          </w:tcPr>
          <w:p>
            <w:pPr>
              <w:pStyle w:val="Small"/>
            </w:pPr>
            <w:r>
              <w:t xml:space="preserve">Citované predpisy sú sledované.</w:t>
            </w:r>
          </w:p>
        </w:tc>
        <w:tc>
          <w:tcPr>
            <w:tcW w:w="2779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1058" w:type="dxa"/>
            <w:vAlign w:val="top"/>
          </w:tcPr>
          <w:p>
            <w:pPr>
              <w:pStyle w:val="Small"/>
            </w:pPr>
            <w:r>
              <w:t xml:space="preserve">PQ-04</w:t>
            </w:r>
          </w:p>
        </w:tc>
        <w:tc>
          <w:tcPr>
            <w:tcW w:w="2268" w:type="dxa"/>
            <w:vAlign w:val="top"/>
          </w:tcPr>
          <w:p>
            <w:pPr>
              <w:pStyle w:val="Small"/>
            </w:pPr>
            <w:r>
              <w:t xml:space="preserve">Bežná prevádzka 2 týždne</w:t>
            </w:r>
          </w:p>
        </w:tc>
        <w:tc>
          <w:tcPr>
            <w:tcW w:w="4535" w:type="dxa"/>
            <w:vAlign w:val="top"/>
          </w:tcPr>
          <w:p>
            <w:pPr>
              <w:pStyle w:val="Small"/>
            </w:pPr>
            <w:r>
              <w:t xml:space="preserve">Pracovať s aplikáciou 2 týždne (schválenie, školenie, revízie) viacerými používateľmi.</w:t>
            </w:r>
          </w:p>
        </w:tc>
        <w:tc>
          <w:tcPr>
            <w:tcW w:w="3930" w:type="dxa"/>
            <w:vAlign w:val="top"/>
          </w:tcPr>
          <w:p>
            <w:pPr>
              <w:pStyle w:val="Small"/>
            </w:pPr>
            <w:r>
              <w:t xml:space="preserve">Bez straty údajov; problémy zaznamenané.</w:t>
            </w:r>
          </w:p>
        </w:tc>
        <w:tc>
          <w:tcPr>
            <w:tcW w:w="2779" w:type="dxa"/>
            <w:vAlign w:val="top"/>
          </w:tcPr>
          <w:p>
            <w:pPr>
              <w:pStyle w:val="Small"/>
            </w:pPr>
          </w:p>
        </w:tc>
      </w:tr>
      <w:tr>
        <w:trPr>
          <w:cantSplit/>
        </w:trPr>
        <w:tc>
          <w:tcPr>
            <w:tcW w:w="1058" w:type="dxa"/>
            <w:vAlign w:val="top"/>
          </w:tcPr>
          <w:p>
            <w:pPr>
              <w:pStyle w:val="Small"/>
            </w:pPr>
            <w:r>
              <w:t xml:space="preserve">PQ-05</w:t>
            </w:r>
          </w:p>
        </w:tc>
        <w:tc>
          <w:tcPr>
            <w:tcW w:w="2268" w:type="dxa"/>
            <w:vAlign w:val="top"/>
          </w:tcPr>
          <w:p>
            <w:pPr>
              <w:pStyle w:val="Small"/>
            </w:pPr>
            <w:r>
              <w:t xml:space="preserve">Postup pri poruche</w:t>
            </w:r>
          </w:p>
        </w:tc>
        <w:tc>
          <w:tcPr>
            <w:tcW w:w="4535" w:type="dxa"/>
            <w:vAlign w:val="top"/>
          </w:tcPr>
          <w:p>
            <w:pPr>
              <w:pStyle w:val="Small"/>
            </w:pPr>
            <w:r>
              <w:t xml:space="preserve">Simulovať nedostupnosť sieťového disku.</w:t>
            </w:r>
          </w:p>
        </w:tc>
        <w:tc>
          <w:tcPr>
            <w:tcW w:w="3930" w:type="dxa"/>
            <w:vAlign w:val="top"/>
          </w:tcPr>
          <w:p>
            <w:pPr>
              <w:pStyle w:val="Small"/>
            </w:pPr>
            <w:r>
              <w:t xml:space="preserve">Postupuje sa podľa SOP-SA-01 kap. 5.17.</w:t>
            </w:r>
          </w:p>
        </w:tc>
        <w:tc>
          <w:tcPr>
            <w:tcW w:w="2779" w:type="dxa"/>
            <w:vAlign w:val="top"/>
          </w:tcPr>
          <w:p>
            <w:pPr>
              <w:pStyle w:val="Small"/>
            </w:pPr>
          </w:p>
        </w:tc>
      </w:tr>
    </w:tbl>
    <w:p/>
    <w:p>
      <w:pPr>
        <w:pStyle w:val="Heading1"/>
        <w:keepNext/>
      </w:pPr>
      <w:r>
        <w:t xml:space="preserve">5. Odchýlky</w:t>
      </w:r>
    </w:p>
    <w:p>
      <w:r>
        <w:t xml:space="preserve">Č. odchýlky · test · opis · posúdenie dopadu · nápravné opatrenie · uzavretie (meno, dátum):</w:t>
      </w:r>
    </w:p>
    <w:p>
      <w:r>
        <w:rPr>
          <w:highlight w:val="yellow"/>
        </w:rPr>
        <w:t xml:space="preserve">[DOPLNIŤ]</w:t>
      </w:r>
    </w:p>
    <w:p>
      <w:pPr>
        <w:pStyle w:val="Heading1"/>
        <w:keepNext/>
      </w:pPr>
      <w:r>
        <w:t xml:space="preserve">6. Podpisy</w:t>
      </w:r>
    </w:p>
    <w:p>
      <w:r>
        <w:t xml:space="preserve">Vypracoval: </w:t>
      </w:r>
      <w:r>
        <w:rPr>
          <w:highlight w:val="yellow"/>
        </w:rPr>
        <w:t xml:space="preserve">[DOPLNIŤ meno]</w:t>
      </w:r>
      <w:r>
        <w:t xml:space="preserve"> · Dátum: ______ · Podpis: ______</w:t>
      </w:r>
    </w:p>
    <w:p>
      <w:r>
        <w:t xml:space="preserve">Preskúmal: </w:t>
      </w:r>
      <w:r>
        <w:rPr>
          <w:highlight w:val="yellow"/>
        </w:rPr>
        <w:t xml:space="preserve">[DOPLNIŤ meno]</w:t>
      </w:r>
      <w:r>
        <w:t xml:space="preserve"> · Dátum: ______ · Podpis: ______</w:t>
      </w:r>
    </w:p>
    <w:p>
      <w:r>
        <w:t xml:space="preserve">Schválil (odborný zástupca): </w:t>
      </w:r>
      <w:r>
        <w:rPr>
          <w:highlight w:val="yellow"/>
        </w:rPr>
        <w:t xml:space="preserve">[DOPLNIŤ meno]</w:t>
      </w:r>
      <w:r>
        <w:t xml:space="preserve"> · Dátum: ______ · Podpis: ______</w:t>
      </w:r>
    </w:p>
    <w:sectPr>
      <w:headerReference w:type="default" r:id="rIdH1"/>
      <w:footerReference w:type="default" r:id="rIdF1"/>
      <w:pgSz w:w="16838" w:h="11906" w:orient="landscape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Small"/>
      <w:jc w:val="center"/>
    </w:pPr>
    <w:r>
      <w:rPr>
        <w:color w:val="5B6E7A"/>
      </w:rPr>
      <w:t xml:space="preserve">PHARMACOPOLA s.r.o. · VAL-SA-03 Testovací protokol IQ / OQ / PQ – aplikácia SOP Archív · Verzia 1 · NÁVRH – neriadená kópia</w:t>
    </w: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082"/>
      <w:gridCol w:w="6803"/>
      <w:gridCol w:w="3686"/>
    </w:tblGrid>
    <w:tr>
      <w:tc>
        <w:tcPr>
          <w:tcW w:w="4082" w:type="dxa"/>
          <w:vAlign w:val="center"/>
        </w:tcPr>
        <w:p>
          <w:r>
            <w:drawing>
              <wp:inline xmlns:wp="http://schemas.openxmlformats.org/drawingml/2006/wordprocessingDrawing" distT="0" distB="0" distL="0" distR="0">
                <wp:extent cx="1600000" cy="263111"/>
                <wp:docPr id="1" name="Logo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xmlns:r="http://schemas.openxmlformats.org/officeDocument/2006/relationships"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000" cy="263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3" w:type="dxa"/>
          <w:vAlign w:val="center"/>
        </w:tcPr>
        <w:p>
          <w:pPr>
            <w:pStyle w:val="Small"/>
            <w:jc w:val="center"/>
          </w:pPr>
          <w:r>
            <w:t xml:space="preserve">Testovací protokol</w:t>
          </w:r>
        </w:p>
        <w:p>
          <w:pPr>
            <w:jc w:val="center"/>
          </w:pPr>
          <w:r>
            <w:rPr>
              <w:b/>
              <w:color w:val="003A5B"/>
            </w:rPr>
            <w:t xml:space="preserve">Testovací protokol IQ / OQ / PQ – aplikácia SOP Archív</w:t>
          </w:r>
        </w:p>
      </w:tc>
      <w:tc>
        <w:tcPr>
          <w:tcW w:w="3686" w:type="dxa"/>
          <w:vAlign w:val="center"/>
        </w:tcPr>
        <w:p>
          <w:pPr>
            <w:pStyle w:val="Small"/>
          </w:pPr>
          <w:r>
            <w:t xml:space="preserve">Kód: VAL-SA-03</w:t>
          </w:r>
        </w:p>
        <w:p>
          <w:pPr>
            <w:pStyle w:val="Small"/>
          </w:pPr>
          <w:r>
            <w:t xml:space="preserve">Verzia: 1</w:t>
          </w:r>
        </w:p>
        <w:p>
          <w:pPr>
            <w:pStyle w:val="Small"/>
          </w:pPr>
          <w:r>
            <w:t xml:space="preserve">Strana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z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/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sk-SK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pPr>
      <w:jc w:val="both"/>
    </w:pPr>
  </w:style>
  <w:style w:type="paragraph" w:styleId="Title">
    <w:name w:val="Title"/>
    <w:basedOn w:val="Normal"/>
    <w:pPr>
      <w:jc w:val="center"/>
      <w:spacing w:before="120" w:after="240"/>
    </w:pPr>
    <w:rPr>
      <w:b/>
      <w:color w:val="003A5B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360" w:after="120"/>
      <w:jc w:val="left"/>
      <w:outlineLvl w:val="0"/>
    </w:pPr>
    <w:rPr>
      <w:b/>
      <w:color w:val="003A5B"/>
      <w:sz w:val="26"/>
      <w:szCs w:val="26"/>
    </w:rPr>
  </w:style>
  <w:style w:type="paragraph" w:styleId="Heading2">
    <w:name w:val="heading 2"/>
    <w:basedOn w:val="Normal"/>
    <w:next w:val="Normal"/>
    <w:pPr>
      <w:keepNext/>
      <w:spacing w:before="200" w:after="80"/>
      <w:jc w:val="left"/>
      <w:outlineLvl w:val="1"/>
    </w:pPr>
    <w:rPr>
      <w:b/>
      <w:color w:val="007A69"/>
      <w:sz w:val="23"/>
      <w:szCs w:val="23"/>
    </w:rPr>
  </w:style>
  <w:style w:type="paragraph" w:styleId="ListParagraph">
    <w:name w:val="List Paragraph"/>
    <w:basedOn w:val="Normal"/>
    <w:pPr>
      <w:spacing w:after="60"/>
      <w:ind w:left="720"/>
      <w:jc w:val="left"/>
    </w:pPr>
  </w:style>
  <w:style w:type="paragraph" w:styleId="Small">
    <w:name w:val="Small"/>
    <w:basedOn w:val="Normal"/>
    <w:pPr>
      <w:spacing w:after="0"/>
      <w:jc w:val="left"/>
    </w:pPr>
    <w:rPr>
      <w:sz w:val="18"/>
      <w:szCs w:val="18"/>
    </w:rPr>
  </w:style>
  <w:style w:type="table" w:styleId="TableGrid">
    <w:name w:val="Table Grid"/>
    <w:tblPr>
      <w:tblBorders>
        <w:top w:val="single" w:sz="4" w:space="0" w:color="9FB8C7"/>
        <w:left w:val="single" w:sz="4" w:space="0" w:color="9FB8C7"/>
        <w:bottom w:val="single" w:sz="4" w:space="0" w:color="9FB8C7"/>
        <w:right w:val="single" w:sz="4" w:space="0" w:color="9FB8C7"/>
        <w:insideH w:val="single" w:sz="4" w:space="0" w:color="9FB8C7"/>
        <w:insideV w:val="single" w:sz="4" w:space="0" w:color="9FB8C7"/>
      </w:tblBorders>
      <w:tblCellMar>
        <w:top w:w="40" w:type="dxa"/>
        <w:left w:w="100" w:type="dxa"/>
        <w:bottom w:w="40" w:type="dxa"/>
        <w:right w:w="10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Relationship Id="rIdH1" Type="http://schemas.openxmlformats.org/officeDocument/2006/relationships/header" Target="header1.xml"/><Relationship Id="rIdF1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Logo" Type="http://schemas.openxmlformats.org/officeDocument/2006/relationships/image" Target="media/logo.png"/></Relationships>
</file>

<file path=docProps/app.xml><?xml version="1.0" encoding="utf-8"?>
<Properties xmlns="http://schemas.openxmlformats.org/officeDocument/2006/extended-properties">
  <Application>SOP Archiv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VAL-SA-03 – Testovací protokol IQ / OQ / PQ – aplikácia SOP Archív</dc:title>
  <dc:creator/>
  <cp:lastModifiedBy/>
  <dcterms:created xsi:type="dcterms:W3CDTF">2026-10-09T07:22:44Z</dcterms:created>
  <dcterms:modified xsi:type="dcterms:W3CDTF">2026-10-09T07:22:44Z</dcterms:modified>
</cp:coreProperties>
</file>