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color w:val="003A5B"/>
        </w:rPr>
        <w:t xml:space="preserve">PHARMACOPOLA s.r.o.</w:t>
      </w:r>
    </w:p>
    <w:p>
      <w:pPr>
        <w:jc w:val="center"/>
      </w:pPr>
      <w:r>
        <w:rPr>
          <w:color w:val="5B6E7A"/>
          <w:sz w:val="20"/>
          <w:szCs w:val="20"/>
        </w:rPr>
        <w:t xml:space="preserve">ANALÝZA RIZÍK</w:t>
      </w:r>
    </w:p>
    <w:p>
      <w:pPr>
        <w:pStyle w:val="Title"/>
      </w:pPr>
      <w:r>
        <w:t xml:space="preserve">Analýza rizík a matica sledovateľnosti – aplikácia SOP Archív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8"/>
        <w:gridCol w:w="3628"/>
        <w:gridCol w:w="3628"/>
        <w:gridCol w:w="3686"/>
      </w:tblGrid>
      <w:tr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Kód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Verzia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Účinnosť od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Útvar</w:t>
            </w: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t xml:space="preserve">VAL-SA-02</w:t>
            </w:r>
          </w:p>
        </w:tc>
        <w:tc>
          <w:tcPr>
            <w:vAlign w:val="center"/>
          </w:tcPr>
          <w:p>
            <w:pPr>
              <w:pStyle w:val="Sma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Small"/>
            </w:pPr>
            <w:r>
              <w:rPr>
                <w:highlight w:val="yellow"/>
              </w:rPr>
              <w:t xml:space="preserve">[DOPLNIŤ]</w:t>
            </w:r>
          </w:p>
        </w:tc>
        <w:tc>
          <w:tcPr>
            <w:vAlign w:val="center"/>
          </w:tcPr>
          <w:p>
            <w:pPr>
              <w:pStyle w:val="Small"/>
            </w:pPr>
            <w:r>
              <w:t xml:space="preserve">Kvalita (QA)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0"/>
        <w:gridCol w:w="3930"/>
        <w:gridCol w:w="3023"/>
        <w:gridCol w:w="2268"/>
        <w:gridCol w:w="2779"/>
      </w:tblGrid>
      <w:tr>
        <w:tc>
          <w:tcPr>
            <w:shd w:val="clear" w:color="auto" w:fill="EAF0F3"/>
            <w:vAlign w:val="center"/>
          </w:tcPr>
          <w:p>
            <w:pPr>
              <w:pStyle w:val="Small"/>
            </w:pP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Meno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Funkcia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Dátum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Podpis</w:t>
            </w: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Vypracoval</w:t>
            </w: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Preskúmal</w:t>
            </w: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Schválil</w:t>
            </w: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</w:tr>
    </w:tbl>
    <w:p/>
    <w:p>
      <w:pPr>
        <w:pStyle w:val="Heading1"/>
        <w:keepNext/>
      </w:pPr>
      <w:r>
        <w:t xml:space="preserve">1. Metóda</w:t>
      </w:r>
    </w:p>
    <w:p>
      <w:r>
        <w:t xml:space="preserve">Pre každú požiadavku sa posúdi, čo môže zlyhať, aký to má dopad na kvalitu liekov, pacienta alebo súlad so SDP, pravdepodobnosť (P) a odhaliteľnosť (D). Výsledné riziko (nízke / stredné / vysoké) určuje rozsah testov. Uvedené sú opatrenia v aplikácii aj procedurálne opatrenia (SOP-SA-01).</w:t>
      </w:r>
    </w:p>
    <w:p>
      <w:pPr>
        <w:pStyle w:val="Heading1"/>
        <w:keepNext/>
      </w:pPr>
      <w:r>
        <w:t xml:space="preserve">2. Analýza rizík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7"/>
        <w:gridCol w:w="1965"/>
        <w:gridCol w:w="1738"/>
        <w:gridCol w:w="907"/>
        <w:gridCol w:w="907"/>
        <w:gridCol w:w="1134"/>
        <w:gridCol w:w="2419"/>
        <w:gridCol w:w="1965"/>
        <w:gridCol w:w="1947"/>
      </w:tblGrid>
      <w:tr>
        <w:trPr>
          <w:tblHeader/>
        </w:trPr>
        <w:tc>
          <w:tcPr>
            <w:tcW w:w="1587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Požiadavka</w:t>
            </w:r>
          </w:p>
        </w:tc>
        <w:tc>
          <w:tcPr>
            <w:tcW w:w="1965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Čo môže zlyhať</w:t>
            </w:r>
          </w:p>
        </w:tc>
        <w:tc>
          <w:tcPr>
            <w:tcW w:w="1738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Dopad</w:t>
            </w:r>
          </w:p>
        </w:tc>
        <w:tc>
          <w:tcPr>
            <w:tcW w:w="907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</w:t>
            </w:r>
          </w:p>
        </w:tc>
        <w:tc>
          <w:tcPr>
            <w:tcW w:w="907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D</w:t>
            </w:r>
          </w:p>
        </w:tc>
        <w:tc>
          <w:tcPr>
            <w:tcW w:w="1134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Riziko</w:t>
            </w:r>
          </w:p>
        </w:tc>
        <w:tc>
          <w:tcPr>
            <w:tcW w:w="2419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Opatrenia v aplikácii</w:t>
            </w:r>
          </w:p>
        </w:tc>
        <w:tc>
          <w:tcPr>
            <w:tcW w:w="1965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Procedurálne opatrenia</w:t>
            </w:r>
          </w:p>
        </w:tc>
        <w:tc>
          <w:tcPr>
            <w:tcW w:w="1947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Testy</w:t>
            </w:r>
          </w:p>
        </w:tc>
      </w:tr>
      <w:tr>
        <w:trPr>
          <w:cantSplit/>
        </w:trPr>
        <w:tc>
          <w:tcPr>
            <w:tcW w:w="1587" w:type="dxa"/>
            <w:vAlign w:val="top"/>
          </w:tcPr>
          <w:p>
            <w:pPr>
              <w:pStyle w:val="Small"/>
            </w:pPr>
            <w:r>
              <w:t xml:space="preserve">URS-01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Používa sa neplatná verzia alebo sa stratí história.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Postup v rozpore s platným dokumentom.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nízka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vysoká</w:t>
            </w:r>
          </w:p>
        </w:tc>
        <w:tc>
          <w:tcPr>
            <w:tcW w:w="1134" w:type="dxa"/>
            <w:vAlign w:val="top"/>
          </w:tcPr>
          <w:p>
            <w:pPr>
              <w:pStyle w:val="Small"/>
            </w:pPr>
            <w:r>
              <w:t xml:space="preserve">stredné</w:t>
            </w:r>
          </w:p>
        </w:tc>
        <w:tc>
          <w:tcPr>
            <w:tcW w:w="2419" w:type="dxa"/>
            <w:vAlign w:val="top"/>
          </w:tcPr>
          <w:p>
            <w:pPr>
              <w:pStyle w:val="Small"/>
            </w:pPr>
            <w:r>
              <w:t xml:space="preserve">Stavy, história verzií, pôvodný súbor sa nemení; otvorenie len na čítanie.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SOP-SA-01 kap. 5.3</w:t>
            </w:r>
          </w:p>
        </w:tc>
        <w:tc>
          <w:tcPr>
            <w:tcW w:w="1947" w:type="dxa"/>
            <w:vAlign w:val="top"/>
          </w:tcPr>
          <w:p>
            <w:pPr>
              <w:pStyle w:val="Small"/>
            </w:pPr>
            <w:r>
              <w:t xml:space="preserve">OQ-01, OQ-02</w:t>
            </w:r>
          </w:p>
        </w:tc>
      </w:tr>
      <w:tr>
        <w:trPr>
          <w:cantSplit/>
        </w:trPr>
        <w:tc>
          <w:tcPr>
            <w:tcW w:w="1587" w:type="dxa"/>
            <w:vAlign w:val="top"/>
          </w:tcPr>
          <w:p>
            <w:pPr>
              <w:pStyle w:val="Small"/>
            </w:pPr>
            <w:r>
              <w:t xml:space="preserve">URS-02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Neoprávnená osoba zmení alebo podpíše dokument.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Neplatný záznam, strata dôvery v systém.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nízka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stredná</w:t>
            </w:r>
          </w:p>
        </w:tc>
        <w:tc>
          <w:tcPr>
            <w:tcW w:w="1134" w:type="dxa"/>
            <w:vAlign w:val="top"/>
          </w:tcPr>
          <w:p>
            <w:pPr>
              <w:pStyle w:val="Small"/>
            </w:pPr>
            <w:r>
              <w:t xml:space="preserve">vysoké</w:t>
            </w:r>
          </w:p>
        </w:tc>
        <w:tc>
          <w:tcPr>
            <w:tcW w:w="2419" w:type="dxa"/>
            <w:vAlign w:val="top"/>
          </w:tcPr>
          <w:p>
            <w:pPr>
              <w:pStyle w:val="Small"/>
            </w:pPr>
            <w:r>
              <w:t xml:space="preserve">Profily, roly kontrolované jadrom, odhlásenie, blokovanie, zmena hesla pri prvom prihlásení.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Nezdieľať heslá; deaktivácia pri odchode.</w:t>
            </w:r>
          </w:p>
        </w:tc>
        <w:tc>
          <w:tcPr>
            <w:tcW w:w="1947" w:type="dxa"/>
            <w:vAlign w:val="top"/>
          </w:tcPr>
          <w:p>
            <w:pPr>
              <w:pStyle w:val="Small"/>
            </w:pPr>
            <w:r>
              <w:t xml:space="preserve">OQ-03, OQ-04</w:t>
            </w:r>
          </w:p>
        </w:tc>
      </w:tr>
      <w:tr>
        <w:trPr>
          <w:cantSplit/>
        </w:trPr>
        <w:tc>
          <w:tcPr>
            <w:tcW w:w="1587" w:type="dxa"/>
            <w:vAlign w:val="top"/>
          </w:tcPr>
          <w:p>
            <w:pPr>
              <w:pStyle w:val="Small"/>
            </w:pPr>
            <w:r>
              <w:t xml:space="preserve">URS-03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Podpis bez vedomia osoby alebo bez významu.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Neplatné schválenie / školenie.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nízka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stredná</w:t>
            </w:r>
          </w:p>
        </w:tc>
        <w:tc>
          <w:tcPr>
            <w:tcW w:w="1134" w:type="dxa"/>
            <w:vAlign w:val="top"/>
          </w:tcPr>
          <w:p>
            <w:pPr>
              <w:pStyle w:val="Small"/>
            </w:pPr>
            <w:r>
              <w:t xml:space="preserve">vysoké</w:t>
            </w:r>
          </w:p>
        </w:tc>
        <w:tc>
          <w:tcPr>
            <w:tcW w:w="2419" w:type="dxa"/>
            <w:vAlign w:val="top"/>
          </w:tcPr>
          <w:p>
            <w:pPr>
              <w:pStyle w:val="Small"/>
            </w:pPr>
            <w:r>
              <w:t xml:space="preserve">Podpis len vlastným heslom; meno, rola, čas uložené; nesprávne heslo zaznamenané.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Heslo ako podpis – školenie používateľov.</w:t>
            </w:r>
          </w:p>
        </w:tc>
        <w:tc>
          <w:tcPr>
            <w:tcW w:w="1947" w:type="dxa"/>
            <w:vAlign w:val="top"/>
          </w:tcPr>
          <w:p>
            <w:pPr>
              <w:pStyle w:val="Small"/>
            </w:pPr>
            <w:r>
              <w:t xml:space="preserve">OQ-05, OQ-08</w:t>
            </w:r>
          </w:p>
        </w:tc>
      </w:tr>
      <w:tr>
        <w:trPr>
          <w:cantSplit/>
        </w:trPr>
        <w:tc>
          <w:tcPr>
            <w:tcW w:w="1587" w:type="dxa"/>
            <w:vAlign w:val="top"/>
          </w:tcPr>
          <w:p>
            <w:pPr>
              <w:pStyle w:val="Small"/>
            </w:pPr>
            <w:r>
              <w:t xml:space="preserve">URS-04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Zmena alebo zmazanie záznamu bez stopy.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Nepreukázateľnosť činností pri inšpekcii.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nízka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vysoká</w:t>
            </w:r>
          </w:p>
        </w:tc>
        <w:tc>
          <w:tcPr>
            <w:tcW w:w="1134" w:type="dxa"/>
            <w:vAlign w:val="top"/>
          </w:tcPr>
          <w:p>
            <w:pPr>
              <w:pStyle w:val="Small"/>
            </w:pPr>
            <w:r>
              <w:t xml:space="preserve">stredné</w:t>
            </w:r>
          </w:p>
        </w:tc>
        <w:tc>
          <w:tcPr>
            <w:tcW w:w="2419" w:type="dxa"/>
            <w:vAlign w:val="top"/>
          </w:tcPr>
          <w:p>
            <w:pPr>
              <w:pStyle w:val="Small"/>
            </w:pPr>
            <w:r>
              <w:t xml:space="preserve">Šifrované riadky len pridávané, súbor na počítač, reťaz odtlačkov – kontrola úplnosti.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Pri narušení oznámiť, uchovať priečinok.</w:t>
            </w:r>
          </w:p>
        </w:tc>
        <w:tc>
          <w:tcPr>
            <w:tcW w:w="1947" w:type="dxa"/>
            <w:vAlign w:val="top"/>
          </w:tcPr>
          <w:p>
            <w:pPr>
              <w:pStyle w:val="Small"/>
            </w:pPr>
            <w:r>
              <w:t xml:space="preserve">OQ-06</w:t>
            </w:r>
          </w:p>
        </w:tc>
      </w:tr>
      <w:tr>
        <w:trPr>
          <w:cantSplit/>
        </w:trPr>
        <w:tc>
          <w:tcPr>
            <w:tcW w:w="1587" w:type="dxa"/>
            <w:vAlign w:val="top"/>
          </w:tcPr>
          <w:p>
            <w:pPr>
              <w:pStyle w:val="Small"/>
            </w:pPr>
            <w:r>
              <w:t xml:space="preserve">URS-05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Únik dokumentov mimo spoločnosť.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Porušenie dôvernosti, GDPR.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nízka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stredná</w:t>
            </w:r>
          </w:p>
        </w:tc>
        <w:tc>
          <w:tcPr>
            <w:tcW w:w="1134" w:type="dxa"/>
            <w:vAlign w:val="top"/>
          </w:tcPr>
          <w:p>
            <w:pPr>
              <w:pStyle w:val="Small"/>
            </w:pPr>
            <w:r>
              <w:t xml:space="preserve">vysoké</w:t>
            </w:r>
          </w:p>
        </w:tc>
        <w:tc>
          <w:tcPr>
            <w:tcW w:w="2419" w:type="dxa"/>
            <w:vAlign w:val="top"/>
          </w:tcPr>
          <w:p>
            <w:pPr>
              <w:pStyle w:val="Small"/>
            </w:pPr>
            <w:r>
              <w:t xml:space="preserve">AES-256, rozhranie bez internetu, záznam sieťovej aktivity, varovanie pred cloudom.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Archív len na firemnom disku.</w:t>
            </w:r>
          </w:p>
        </w:tc>
        <w:tc>
          <w:tcPr>
            <w:tcW w:w="1947" w:type="dxa"/>
            <w:vAlign w:val="top"/>
          </w:tcPr>
          <w:p>
            <w:pPr>
              <w:pStyle w:val="Small"/>
            </w:pPr>
            <w:r>
              <w:t xml:space="preserve">OQ-07</w:t>
            </w:r>
          </w:p>
        </w:tc>
      </w:tr>
      <w:tr>
        <w:trPr>
          <w:cantSplit/>
        </w:trPr>
        <w:tc>
          <w:tcPr>
            <w:tcW w:w="1587" w:type="dxa"/>
            <w:vAlign w:val="top"/>
          </w:tcPr>
          <w:p>
            <w:pPr>
              <w:pStyle w:val="Small"/>
            </w:pPr>
            <w:r>
              <w:t xml:space="preserve">URS-06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Platná verzia bez schválenia.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Neschválený postup v praxi.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nízka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vysoká</w:t>
            </w:r>
          </w:p>
        </w:tc>
        <w:tc>
          <w:tcPr>
            <w:tcW w:w="1134" w:type="dxa"/>
            <w:vAlign w:val="top"/>
          </w:tcPr>
          <w:p>
            <w:pPr>
              <w:pStyle w:val="Small"/>
            </w:pPr>
            <w:r>
              <w:t xml:space="preserve">stredné</w:t>
            </w:r>
          </w:p>
        </w:tc>
        <w:tc>
          <w:tcPr>
            <w:tcW w:w="2419" w:type="dxa"/>
            <w:vAlign w:val="top"/>
          </w:tcPr>
          <w:p>
            <w:pPr>
              <w:pStyle w:val="Small"/>
            </w:pPr>
            <w:r>
              <w:t xml:space="preserve">Platnosť až po poslednom podpise; zamietnutie s dôvodom.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SOP-SA-01 kap. 5.5</w:t>
            </w:r>
          </w:p>
        </w:tc>
        <w:tc>
          <w:tcPr>
            <w:tcW w:w="1947" w:type="dxa"/>
            <w:vAlign w:val="top"/>
          </w:tcPr>
          <w:p>
            <w:pPr>
              <w:pStyle w:val="Small"/>
            </w:pPr>
            <w:r>
              <w:t xml:space="preserve">OQ-08</w:t>
            </w:r>
          </w:p>
        </w:tc>
      </w:tr>
      <w:tr>
        <w:trPr>
          <w:cantSplit/>
        </w:trPr>
        <w:tc>
          <w:tcPr>
            <w:tcW w:w="1587" w:type="dxa"/>
            <w:vAlign w:val="top"/>
          </w:tcPr>
          <w:p>
            <w:pPr>
              <w:pStyle w:val="Small"/>
            </w:pPr>
            <w:r>
              <w:t xml:space="preserve">URS-07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Na pracovisku zostane stará tlačená verzia.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Postup podľa neplatnej verzie.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stredná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stredná</w:t>
            </w:r>
          </w:p>
        </w:tc>
        <w:tc>
          <w:tcPr>
            <w:tcW w:w="1134" w:type="dxa"/>
            <w:vAlign w:val="top"/>
          </w:tcPr>
          <w:p>
            <w:pPr>
              <w:pStyle w:val="Small"/>
            </w:pPr>
            <w:r>
              <w:t xml:space="preserve">stredné</w:t>
            </w:r>
          </w:p>
        </w:tc>
        <w:tc>
          <w:tcPr>
            <w:tcW w:w="2419" w:type="dxa"/>
            <w:vAlign w:val="top"/>
          </w:tcPr>
          <w:p>
            <w:pPr>
              <w:pStyle w:val="Small"/>
            </w:pPr>
            <w:r>
              <w:t xml:space="preserve">Evidencia kópií, zoznam na stiahnutie, pečiatky „riadená / neriadená kópia“.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Stiahnuť kópie pri novej verzii.</w:t>
            </w:r>
          </w:p>
        </w:tc>
        <w:tc>
          <w:tcPr>
            <w:tcW w:w="1947" w:type="dxa"/>
            <w:vAlign w:val="top"/>
          </w:tcPr>
          <w:p>
            <w:pPr>
              <w:pStyle w:val="Small"/>
            </w:pPr>
            <w:r>
              <w:t xml:space="preserve">OQ-09</w:t>
            </w:r>
          </w:p>
        </w:tc>
      </w:tr>
      <w:tr>
        <w:trPr>
          <w:cantSplit/>
        </w:trPr>
        <w:tc>
          <w:tcPr>
            <w:tcW w:w="1587" w:type="dxa"/>
            <w:vAlign w:val="top"/>
          </w:tcPr>
          <w:p>
            <w:pPr>
              <w:pStyle w:val="Small"/>
            </w:pPr>
            <w:r>
              <w:t xml:space="preserve">URS-08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Zamestnanec nie je zaškolený na platnú verziu.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Chyba pri práci s liekmi.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stredná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vysoká</w:t>
            </w:r>
          </w:p>
        </w:tc>
        <w:tc>
          <w:tcPr>
            <w:tcW w:w="1134" w:type="dxa"/>
            <w:vAlign w:val="top"/>
          </w:tcPr>
          <w:p>
            <w:pPr>
              <w:pStyle w:val="Small"/>
            </w:pPr>
            <w:r>
              <w:t xml:space="preserve">stredné</w:t>
            </w:r>
          </w:p>
        </w:tc>
        <w:tc>
          <w:tcPr>
            <w:tcW w:w="2419" w:type="dxa"/>
            <w:vAlign w:val="top"/>
          </w:tcPr>
          <w:p>
            <w:pPr>
              <w:pStyle w:val="Small"/>
            </w:pPr>
            <w:r>
              <w:t xml:space="preserve">Školenie viazané na verziu, prehľad chýbajúcich, potvrdenie heslom.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SOP-SA-01 kap. 5.6</w:t>
            </w:r>
          </w:p>
        </w:tc>
        <w:tc>
          <w:tcPr>
            <w:tcW w:w="1947" w:type="dxa"/>
            <w:vAlign w:val="top"/>
          </w:tcPr>
          <w:p>
            <w:pPr>
              <w:pStyle w:val="Small"/>
            </w:pPr>
            <w:r>
              <w:t xml:space="preserve">OQ-10</w:t>
            </w:r>
          </w:p>
        </w:tc>
      </w:tr>
      <w:tr>
        <w:trPr>
          <w:cantSplit/>
        </w:trPr>
        <w:tc>
          <w:tcPr>
            <w:tcW w:w="1587" w:type="dxa"/>
            <w:vAlign w:val="top"/>
          </w:tcPr>
          <w:p>
            <w:pPr>
              <w:pStyle w:val="Small"/>
            </w:pPr>
            <w:r>
              <w:t xml:space="preserve">URS-09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Prekročený termín revízie.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Zastaraný dokument.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stredná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vysoká</w:t>
            </w:r>
          </w:p>
        </w:tc>
        <w:tc>
          <w:tcPr>
            <w:tcW w:w="1134" w:type="dxa"/>
            <w:vAlign w:val="top"/>
          </w:tcPr>
          <w:p>
            <w:pPr>
              <w:pStyle w:val="Small"/>
            </w:pPr>
            <w:r>
              <w:t xml:space="preserve">nízke</w:t>
            </w:r>
          </w:p>
        </w:tc>
        <w:tc>
          <w:tcPr>
            <w:tcW w:w="2419" w:type="dxa"/>
            <w:vAlign w:val="top"/>
          </w:tcPr>
          <w:p>
            <w:pPr>
              <w:pStyle w:val="Small"/>
            </w:pPr>
            <w:r>
              <w:t xml:space="preserve">Upozornenia, prehľad revízií.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—</w:t>
            </w:r>
          </w:p>
        </w:tc>
        <w:tc>
          <w:tcPr>
            <w:tcW w:w="1947" w:type="dxa"/>
            <w:vAlign w:val="top"/>
          </w:tcPr>
          <w:p>
            <w:pPr>
              <w:pStyle w:val="Small"/>
            </w:pPr>
            <w:r>
              <w:t xml:space="preserve">OQ-11</w:t>
            </w:r>
          </w:p>
        </w:tc>
      </w:tr>
      <w:tr>
        <w:trPr>
          <w:cantSplit/>
        </w:trPr>
        <w:tc>
          <w:tcPr>
            <w:tcW w:w="1587" w:type="dxa"/>
            <w:vAlign w:val="top"/>
          </w:tcPr>
          <w:p>
            <w:pPr>
              <w:pStyle w:val="Small"/>
            </w:pPr>
            <w:r>
              <w:t xml:space="preserve">URS-10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Prehliadnutá zmena predpisu.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Nesúlad s legislatívou.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stredná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stredná</w:t>
            </w:r>
          </w:p>
        </w:tc>
        <w:tc>
          <w:tcPr>
            <w:tcW w:w="1134" w:type="dxa"/>
            <w:vAlign w:val="top"/>
          </w:tcPr>
          <w:p>
            <w:pPr>
              <w:pStyle w:val="Small"/>
            </w:pPr>
            <w:r>
              <w:t xml:space="preserve">stredné</w:t>
            </w:r>
          </w:p>
        </w:tc>
        <w:tc>
          <w:tcPr>
            <w:tcW w:w="2419" w:type="dxa"/>
            <w:vAlign w:val="top"/>
          </w:tcPr>
          <w:p>
            <w:pPr>
              <w:pStyle w:val="Small"/>
            </w:pPr>
            <w:r>
              <w:t xml:space="preserve">Automatická kontrola, zmenené ustanovenia, dotknuté dokumenty.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Posúdenie odborným zástupcom; aplikácia je pomôcka.</w:t>
            </w:r>
          </w:p>
        </w:tc>
        <w:tc>
          <w:tcPr>
            <w:tcW w:w="1947" w:type="dxa"/>
            <w:vAlign w:val="top"/>
          </w:tcPr>
          <w:p>
            <w:pPr>
              <w:pStyle w:val="Small"/>
            </w:pPr>
            <w:r>
              <w:t xml:space="preserve">OQ-12</w:t>
            </w:r>
          </w:p>
        </w:tc>
      </w:tr>
      <w:tr>
        <w:trPr>
          <w:cantSplit/>
        </w:trPr>
        <w:tc>
          <w:tcPr>
            <w:tcW w:w="1587" w:type="dxa"/>
            <w:vAlign w:val="top"/>
          </w:tcPr>
          <w:p>
            <w:pPr>
              <w:pStyle w:val="Small"/>
            </w:pPr>
            <w:r>
              <w:t xml:space="preserve">URS-11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Neposúdený oznam o stiahnutí lieku.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Distribúcia stiahnutého lieku.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nízka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vysoká</w:t>
            </w:r>
          </w:p>
        </w:tc>
        <w:tc>
          <w:tcPr>
            <w:tcW w:w="1134" w:type="dxa"/>
            <w:vAlign w:val="top"/>
          </w:tcPr>
          <w:p>
            <w:pPr>
              <w:pStyle w:val="Small"/>
            </w:pPr>
            <w:r>
              <w:t xml:space="preserve">vysoké</w:t>
            </w:r>
          </w:p>
        </w:tc>
        <w:tc>
          <w:tcPr>
            <w:tcW w:w="2419" w:type="dxa"/>
            <w:vAlign w:val="top"/>
          </w:tcPr>
          <w:p>
            <w:pPr>
              <w:pStyle w:val="Small"/>
            </w:pPr>
            <w:r>
              <w:t xml:space="preserve">Kontrola každé 4 h, zvýraznenie, počítadlo na posúdenie, upozornenie.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Lehota na posúdenie; SOP pre stiahnutie.</w:t>
            </w:r>
          </w:p>
        </w:tc>
        <w:tc>
          <w:tcPr>
            <w:tcW w:w="1947" w:type="dxa"/>
            <w:vAlign w:val="top"/>
          </w:tcPr>
          <w:p>
            <w:pPr>
              <w:pStyle w:val="Small"/>
            </w:pPr>
            <w:r>
              <w:t xml:space="preserve">OQ-13</w:t>
            </w:r>
          </w:p>
        </w:tc>
      </w:tr>
      <w:tr>
        <w:trPr>
          <w:cantSplit/>
        </w:trPr>
        <w:tc>
          <w:tcPr>
            <w:tcW w:w="1587" w:type="dxa"/>
            <w:vAlign w:val="top"/>
          </w:tcPr>
          <w:p>
            <w:pPr>
              <w:pStyle w:val="Small"/>
            </w:pPr>
            <w:r>
              <w:t xml:space="preserve">URS-12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Zmazanie riadeného dokumentu.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Strata záznamu.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nízka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vysoká</w:t>
            </w:r>
          </w:p>
        </w:tc>
        <w:tc>
          <w:tcPr>
            <w:tcW w:w="1134" w:type="dxa"/>
            <w:vAlign w:val="top"/>
          </w:tcPr>
          <w:p>
            <w:pPr>
              <w:pStyle w:val="Small"/>
            </w:pPr>
            <w:r>
              <w:t xml:space="preserve">stredné</w:t>
            </w:r>
          </w:p>
        </w:tc>
        <w:tc>
          <w:tcPr>
            <w:tcW w:w="2419" w:type="dxa"/>
            <w:vAlign w:val="top"/>
          </w:tcPr>
          <w:p>
            <w:pPr>
              <w:pStyle w:val="Small"/>
            </w:pPr>
            <w:r>
              <w:t xml:space="preserve">Blokovanie odstránenia, dôvod, dve potvrdenia, kôš.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—</w:t>
            </w:r>
          </w:p>
        </w:tc>
        <w:tc>
          <w:tcPr>
            <w:tcW w:w="1947" w:type="dxa"/>
            <w:vAlign w:val="top"/>
          </w:tcPr>
          <w:p>
            <w:pPr>
              <w:pStyle w:val="Small"/>
            </w:pPr>
            <w:r>
              <w:t xml:space="preserve">OQ-14</w:t>
            </w:r>
          </w:p>
        </w:tc>
      </w:tr>
      <w:tr>
        <w:trPr>
          <w:cantSplit/>
        </w:trPr>
        <w:tc>
          <w:tcPr>
            <w:tcW w:w="1587" w:type="dxa"/>
            <w:vAlign w:val="top"/>
          </w:tcPr>
          <w:p>
            <w:pPr>
              <w:pStyle w:val="Small"/>
            </w:pPr>
            <w:r>
              <w:t xml:space="preserve">URS-13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Strata zmeny pri súčasnej práci.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Chýbajúci alebo prepísaný záznam.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stredná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stredná</w:t>
            </w:r>
          </w:p>
        </w:tc>
        <w:tc>
          <w:tcPr>
            <w:tcW w:w="1134" w:type="dxa"/>
            <w:vAlign w:val="top"/>
          </w:tcPr>
          <w:p>
            <w:pPr>
              <w:pStyle w:val="Small"/>
            </w:pPr>
            <w:r>
              <w:t xml:space="preserve">stredné</w:t>
            </w:r>
          </w:p>
        </w:tc>
        <w:tc>
          <w:tcPr>
            <w:tcW w:w="2419" w:type="dxa"/>
            <w:vAlign w:val="top"/>
          </w:tcPr>
          <w:p>
            <w:pPr>
              <w:pStyle w:val="Small"/>
            </w:pPr>
            <w:r>
              <w:t xml:space="preserve">Krátke transakcie so zámkom, načítanie zmien, kontrola konfliktu.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—</w:t>
            </w:r>
          </w:p>
        </w:tc>
        <w:tc>
          <w:tcPr>
            <w:tcW w:w="1947" w:type="dxa"/>
            <w:vAlign w:val="top"/>
          </w:tcPr>
          <w:p>
            <w:pPr>
              <w:pStyle w:val="Small"/>
            </w:pPr>
            <w:r>
              <w:t xml:space="preserve">OQ-15</w:t>
            </w:r>
          </w:p>
        </w:tc>
      </w:tr>
      <w:tr>
        <w:trPr>
          <w:cantSplit/>
        </w:trPr>
        <w:tc>
          <w:tcPr>
            <w:tcW w:w="1587" w:type="dxa"/>
            <w:vAlign w:val="top"/>
          </w:tcPr>
          <w:p>
            <w:pPr>
              <w:pStyle w:val="Small"/>
            </w:pPr>
            <w:r>
              <w:t xml:space="preserve">URS-14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Neúplné podklady pre inšpekciu.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Zistenie pri inšpekcii.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nízka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vysoká</w:t>
            </w:r>
          </w:p>
        </w:tc>
        <w:tc>
          <w:tcPr>
            <w:tcW w:w="1134" w:type="dxa"/>
            <w:vAlign w:val="top"/>
          </w:tcPr>
          <w:p>
            <w:pPr>
              <w:pStyle w:val="Small"/>
            </w:pPr>
            <w:r>
              <w:t xml:space="preserve">nízke</w:t>
            </w:r>
          </w:p>
        </w:tc>
        <w:tc>
          <w:tcPr>
            <w:tcW w:w="2419" w:type="dxa"/>
            <w:vAlign w:val="top"/>
          </w:tcPr>
          <w:p>
            <w:pPr>
              <w:pStyle w:val="Small"/>
            </w:pPr>
            <w:r>
              <w:t xml:space="preserve">Správa a export z jedného miesta, odtlačky súborov.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—</w:t>
            </w:r>
          </w:p>
        </w:tc>
        <w:tc>
          <w:tcPr>
            <w:tcW w:w="1947" w:type="dxa"/>
            <w:vAlign w:val="top"/>
          </w:tcPr>
          <w:p>
            <w:pPr>
              <w:pStyle w:val="Small"/>
            </w:pPr>
            <w:r>
              <w:t xml:space="preserve">OQ-16, OQ-17</w:t>
            </w:r>
          </w:p>
        </w:tc>
      </w:tr>
      <w:tr>
        <w:trPr>
          <w:cantSplit/>
        </w:trPr>
        <w:tc>
          <w:tcPr>
            <w:tcW w:w="1587" w:type="dxa"/>
            <w:vAlign w:val="top"/>
          </w:tcPr>
          <w:p>
            <w:pPr>
              <w:pStyle w:val="Small"/>
            </w:pPr>
            <w:r>
              <w:t xml:space="preserve">URS-15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Strata údajov (disk, chyba).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Strata dokumentácie.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nízka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vysoká</w:t>
            </w:r>
          </w:p>
        </w:tc>
        <w:tc>
          <w:tcPr>
            <w:tcW w:w="1134" w:type="dxa"/>
            <w:vAlign w:val="top"/>
          </w:tcPr>
          <w:p>
            <w:pPr>
              <w:pStyle w:val="Small"/>
            </w:pPr>
            <w:r>
              <w:t xml:space="preserve">vysoké</w:t>
            </w:r>
          </w:p>
        </w:tc>
        <w:tc>
          <w:tcPr>
            <w:tcW w:w="2419" w:type="dxa"/>
            <w:vAlign w:val="top"/>
          </w:tcPr>
          <w:p>
            <w:pPr>
              <w:pStyle w:val="Small"/>
            </w:pPr>
            <w:r>
              <w:t xml:space="preserve">Predchádzajúce uloženie a denné kópie súboru archívu; kód na obnovenie.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Zálohovanie priečinka IT; ročný test obnovy.</w:t>
            </w:r>
          </w:p>
        </w:tc>
        <w:tc>
          <w:tcPr>
            <w:tcW w:w="1947" w:type="dxa"/>
            <w:vAlign w:val="top"/>
          </w:tcPr>
          <w:p>
            <w:pPr>
              <w:pStyle w:val="Small"/>
            </w:pPr>
            <w:r>
              <w:t xml:space="preserve">OQ-18, IQ-05</w:t>
            </w:r>
          </w:p>
        </w:tc>
      </w:tr>
      <w:tr>
        <w:trPr>
          <w:cantSplit/>
        </w:trPr>
        <w:tc>
          <w:tcPr>
            <w:tcW w:w="1587" w:type="dxa"/>
            <w:vAlign w:val="top"/>
          </w:tcPr>
          <w:p>
            <w:pPr>
              <w:pStyle w:val="Small"/>
            </w:pPr>
            <w:r>
              <w:t xml:space="preserve">URS-16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Dokument sa nenájde.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Zdržanie.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stredná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vysoká</w:t>
            </w:r>
          </w:p>
        </w:tc>
        <w:tc>
          <w:tcPr>
            <w:tcW w:w="1134" w:type="dxa"/>
            <w:vAlign w:val="top"/>
          </w:tcPr>
          <w:p>
            <w:pPr>
              <w:pStyle w:val="Small"/>
            </w:pPr>
            <w:r>
              <w:t xml:space="preserve">nízke</w:t>
            </w:r>
          </w:p>
        </w:tc>
        <w:tc>
          <w:tcPr>
            <w:tcW w:w="2419" w:type="dxa"/>
            <w:vAlign w:val="top"/>
          </w:tcPr>
          <w:p>
            <w:pPr>
              <w:pStyle w:val="Small"/>
            </w:pPr>
            <w:r>
              <w:t xml:space="preserve">Fulltext so slovenčinou, OCR.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—</w:t>
            </w:r>
          </w:p>
        </w:tc>
        <w:tc>
          <w:tcPr>
            <w:tcW w:w="1947" w:type="dxa"/>
            <w:vAlign w:val="top"/>
          </w:tcPr>
          <w:p>
            <w:pPr>
              <w:pStyle w:val="Small"/>
            </w:pPr>
            <w:r>
              <w:t xml:space="preserve">OQ-19</w:t>
            </w:r>
          </w:p>
        </w:tc>
      </w:tr>
      <w:tr>
        <w:trPr>
          <w:cantSplit/>
        </w:trPr>
        <w:tc>
          <w:tcPr>
            <w:tcW w:w="1587" w:type="dxa"/>
            <w:vAlign w:val="top"/>
          </w:tcPr>
          <w:p>
            <w:pPr>
              <w:pStyle w:val="Small"/>
            </w:pPr>
            <w:r>
              <w:t xml:space="preserve">URS-17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AI vymyslí alebo zmení obsah; únik cez AI.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Nesprávny postup v dokumente.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stredná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stredná</w:t>
            </w:r>
          </w:p>
        </w:tc>
        <w:tc>
          <w:tcPr>
            <w:tcW w:w="1134" w:type="dxa"/>
            <w:vAlign w:val="top"/>
          </w:tcPr>
          <w:p>
            <w:pPr>
              <w:pStyle w:val="Small"/>
            </w:pPr>
            <w:r>
              <w:t xml:space="preserve">stredné</w:t>
            </w:r>
          </w:p>
        </w:tc>
        <w:tc>
          <w:tcPr>
            <w:tcW w:w="2419" w:type="dxa"/>
            <w:vAlign w:val="top"/>
          </w:tcPr>
          <w:p>
            <w:pPr>
              <w:pStyle w:val="Small"/>
            </w:pPr>
            <w:r>
              <w:t xml:space="preserve">AI len lokálne bez siete (overené); výstup len návrh so zvýraznenými zmenami; </w:t>
            </w:r>
            <w:r>
              <w:rPr>
                <w:highlight w:val="yellow"/>
              </w:rPr>
              <w:t xml:space="preserve">[DOPLNIŤ]</w:t>
            </w:r>
            <w:r>
              <w:t xml:space="preserve"> miesta.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Overenie autorom a schvaľovateľom.</w:t>
            </w:r>
          </w:p>
        </w:tc>
        <w:tc>
          <w:tcPr>
            <w:tcW w:w="1947" w:type="dxa"/>
            <w:vAlign w:val="top"/>
          </w:tcPr>
          <w:p>
            <w:pPr>
              <w:pStyle w:val="Small"/>
            </w:pPr>
            <w:r>
              <w:t xml:space="preserve">OQ-20</w:t>
            </w:r>
          </w:p>
        </w:tc>
      </w:tr>
      <w:tr>
        <w:trPr>
          <w:cantSplit/>
        </w:trPr>
        <w:tc>
          <w:tcPr>
            <w:tcW w:w="1587" w:type="dxa"/>
            <w:vAlign w:val="top"/>
          </w:tcPr>
          <w:p>
            <w:pPr>
              <w:pStyle w:val="Small"/>
            </w:pPr>
            <w:r>
              <w:t xml:space="preserve">URS-18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Aplikácia nedostupná.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Nemožnosť pracovať s dokumentmi.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nízka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vysoká</w:t>
            </w:r>
          </w:p>
        </w:tc>
        <w:tc>
          <w:tcPr>
            <w:tcW w:w="1134" w:type="dxa"/>
            <w:vAlign w:val="top"/>
          </w:tcPr>
          <w:p>
            <w:pPr>
              <w:pStyle w:val="Small"/>
            </w:pPr>
            <w:r>
              <w:t xml:space="preserve">stredné</w:t>
            </w:r>
          </w:p>
        </w:tc>
        <w:tc>
          <w:tcPr>
            <w:tcW w:w="2419" w:type="dxa"/>
            <w:vAlign w:val="top"/>
          </w:tcPr>
          <w:p>
            <w:pPr>
              <w:pStyle w:val="Small"/>
            </w:pPr>
            <w:r>
              <w:t xml:space="preserve">—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Riadené kópie; záznam odchýlky.</w:t>
            </w:r>
          </w:p>
        </w:tc>
        <w:tc>
          <w:tcPr>
            <w:tcW w:w="1947" w:type="dxa"/>
            <w:vAlign w:val="top"/>
          </w:tcPr>
          <w:p>
            <w:pPr>
              <w:pStyle w:val="Small"/>
            </w:pPr>
            <w:r>
              <w:t xml:space="preserve">PQ-05</w:t>
            </w:r>
          </w:p>
        </w:tc>
      </w:tr>
      <w:tr>
        <w:trPr>
          <w:cantSplit/>
        </w:trPr>
        <w:tc>
          <w:tcPr>
            <w:tcW w:w="1587" w:type="dxa"/>
            <w:vAlign w:val="top"/>
          </w:tcPr>
          <w:p>
            <w:pPr>
              <w:pStyle w:val="Small"/>
            </w:pPr>
            <w:r>
              <w:t xml:space="preserve">URS-19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Nainštaluje sa podvrhnutá alebo poškodená verzia; neodsúhlasená zmena programu.</w:t>
            </w:r>
          </w:p>
        </w:tc>
        <w:tc>
          <w:tcPr>
            <w:tcW w:w="1738" w:type="dxa"/>
            <w:vAlign w:val="top"/>
          </w:tcPr>
          <w:p>
            <w:pPr>
              <w:pStyle w:val="Small"/>
            </w:pPr>
            <w:r>
              <w:t xml:space="preserve">Nesprávne fungovanie systému, únik údajov.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nízka</w:t>
            </w:r>
          </w:p>
        </w:tc>
        <w:tc>
          <w:tcPr>
            <w:tcW w:w="907" w:type="dxa"/>
            <w:vAlign w:val="top"/>
          </w:tcPr>
          <w:p>
            <w:pPr>
              <w:pStyle w:val="Small"/>
            </w:pPr>
            <w:r>
              <w:t xml:space="preserve">vysoká</w:t>
            </w:r>
          </w:p>
        </w:tc>
        <w:tc>
          <w:tcPr>
            <w:tcW w:w="1134" w:type="dxa"/>
            <w:vAlign w:val="top"/>
          </w:tcPr>
          <w:p>
            <w:pPr>
              <w:pStyle w:val="Small"/>
            </w:pPr>
            <w:r>
              <w:t xml:space="preserve">stredné</w:t>
            </w:r>
          </w:p>
        </w:tc>
        <w:tc>
          <w:tcPr>
            <w:tcW w:w="2419" w:type="dxa"/>
            <w:vAlign w:val="top"/>
          </w:tcPr>
          <w:p>
            <w:pPr>
              <w:pStyle w:val="Small"/>
            </w:pPr>
            <w:r>
              <w:t xml:space="preserve">Len zverejnené verzie; odtlačok SHA-256 overený pred inštaláciou; len správca; zápis do auditného záznamu; archív sa nemení.</w:t>
            </w:r>
          </w:p>
        </w:tc>
        <w:tc>
          <w:tcPr>
            <w:tcW w:w="1965" w:type="dxa"/>
            <w:vAlign w:val="top"/>
          </w:tcPr>
          <w:p>
            <w:pPr>
              <w:pStyle w:val="Small"/>
            </w:pPr>
            <w:r>
              <w:t xml:space="preserve">SOP-SA-01 kap. 5.16 – posúdenie zmeny pred inštaláciou.</w:t>
            </w:r>
          </w:p>
        </w:tc>
        <w:tc>
          <w:tcPr>
            <w:tcW w:w="1947" w:type="dxa"/>
            <w:vAlign w:val="top"/>
          </w:tcPr>
          <w:p>
            <w:pPr>
              <w:pStyle w:val="Small"/>
            </w:pPr>
            <w:r>
              <w:t xml:space="preserve">OQ-21</w:t>
            </w:r>
          </w:p>
        </w:tc>
      </w:tr>
    </w:tbl>
    <w:p/>
    <w:p>
      <w:pPr>
        <w:pStyle w:val="Heading1"/>
        <w:keepNext/>
      </w:pPr>
      <w:r>
        <w:t xml:space="preserve">3. Matica sledovateľnosti</w:t>
      </w:r>
    </w:p>
    <w:p>
      <w:r>
        <w:t xml:space="preserve">Každá požiadavka (URS) → riziko → test, ktorým sa preukazuje splnenie (VAL-SA-03).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3"/>
        <w:gridCol w:w="3023"/>
        <w:gridCol w:w="8523"/>
      </w:tblGrid>
      <w:tr>
        <w:trPr>
          <w:tblHeader/>
        </w:trPr>
        <w:tc>
          <w:tcPr>
            <w:tcW w:w="3023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Požiadavka</w:t>
            </w:r>
          </w:p>
        </w:tc>
        <w:tc>
          <w:tcPr>
            <w:tcW w:w="3023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Riziko</w:t>
            </w:r>
          </w:p>
        </w:tc>
        <w:tc>
          <w:tcPr>
            <w:tcW w:w="8523" w:type="dxa"/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Testy</w:t>
            </w:r>
          </w:p>
        </w:tc>
      </w:tr>
      <w:tr>
        <w:trPr>
          <w:cantSplit/>
        </w:trPr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URS-01</w:t>
            </w:r>
          </w:p>
        </w:tc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stredné</w:t>
            </w:r>
          </w:p>
        </w:tc>
        <w:tc>
          <w:tcPr>
            <w:tcW w:w="8523" w:type="dxa"/>
            <w:vAlign w:val="top"/>
          </w:tcPr>
          <w:p>
            <w:pPr>
              <w:pStyle w:val="Small"/>
            </w:pPr>
            <w:r>
              <w:t xml:space="preserve">OQ-01, OQ-02</w:t>
            </w:r>
          </w:p>
        </w:tc>
      </w:tr>
      <w:tr>
        <w:trPr>
          <w:cantSplit/>
        </w:trPr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URS-02</w:t>
            </w:r>
          </w:p>
        </w:tc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vysoké</w:t>
            </w:r>
          </w:p>
        </w:tc>
        <w:tc>
          <w:tcPr>
            <w:tcW w:w="8523" w:type="dxa"/>
            <w:vAlign w:val="top"/>
          </w:tcPr>
          <w:p>
            <w:pPr>
              <w:pStyle w:val="Small"/>
            </w:pPr>
            <w:r>
              <w:t xml:space="preserve">OQ-03, OQ-04</w:t>
            </w:r>
          </w:p>
        </w:tc>
      </w:tr>
      <w:tr>
        <w:trPr>
          <w:cantSplit/>
        </w:trPr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URS-03</w:t>
            </w:r>
          </w:p>
        </w:tc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vysoké</w:t>
            </w:r>
          </w:p>
        </w:tc>
        <w:tc>
          <w:tcPr>
            <w:tcW w:w="8523" w:type="dxa"/>
            <w:vAlign w:val="top"/>
          </w:tcPr>
          <w:p>
            <w:pPr>
              <w:pStyle w:val="Small"/>
            </w:pPr>
            <w:r>
              <w:t xml:space="preserve">OQ-05, OQ-08</w:t>
            </w:r>
          </w:p>
        </w:tc>
      </w:tr>
      <w:tr>
        <w:trPr>
          <w:cantSplit/>
        </w:trPr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URS-04</w:t>
            </w:r>
          </w:p>
        </w:tc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stredné</w:t>
            </w:r>
          </w:p>
        </w:tc>
        <w:tc>
          <w:tcPr>
            <w:tcW w:w="8523" w:type="dxa"/>
            <w:vAlign w:val="top"/>
          </w:tcPr>
          <w:p>
            <w:pPr>
              <w:pStyle w:val="Small"/>
            </w:pPr>
            <w:r>
              <w:t xml:space="preserve">OQ-06</w:t>
            </w:r>
          </w:p>
        </w:tc>
      </w:tr>
      <w:tr>
        <w:trPr>
          <w:cantSplit/>
        </w:trPr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URS-05</w:t>
            </w:r>
          </w:p>
        </w:tc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vysoké</w:t>
            </w:r>
          </w:p>
        </w:tc>
        <w:tc>
          <w:tcPr>
            <w:tcW w:w="8523" w:type="dxa"/>
            <w:vAlign w:val="top"/>
          </w:tcPr>
          <w:p>
            <w:pPr>
              <w:pStyle w:val="Small"/>
            </w:pPr>
            <w:r>
              <w:t xml:space="preserve">OQ-07</w:t>
            </w:r>
          </w:p>
        </w:tc>
      </w:tr>
      <w:tr>
        <w:trPr>
          <w:cantSplit/>
        </w:trPr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URS-06</w:t>
            </w:r>
          </w:p>
        </w:tc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stredné</w:t>
            </w:r>
          </w:p>
        </w:tc>
        <w:tc>
          <w:tcPr>
            <w:tcW w:w="8523" w:type="dxa"/>
            <w:vAlign w:val="top"/>
          </w:tcPr>
          <w:p>
            <w:pPr>
              <w:pStyle w:val="Small"/>
            </w:pPr>
            <w:r>
              <w:t xml:space="preserve">OQ-08</w:t>
            </w:r>
          </w:p>
        </w:tc>
      </w:tr>
      <w:tr>
        <w:trPr>
          <w:cantSplit/>
        </w:trPr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URS-07</w:t>
            </w:r>
          </w:p>
        </w:tc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stredné</w:t>
            </w:r>
          </w:p>
        </w:tc>
        <w:tc>
          <w:tcPr>
            <w:tcW w:w="8523" w:type="dxa"/>
            <w:vAlign w:val="top"/>
          </w:tcPr>
          <w:p>
            <w:pPr>
              <w:pStyle w:val="Small"/>
            </w:pPr>
            <w:r>
              <w:t xml:space="preserve">OQ-09</w:t>
            </w:r>
          </w:p>
        </w:tc>
      </w:tr>
      <w:tr>
        <w:trPr>
          <w:cantSplit/>
        </w:trPr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URS-08</w:t>
            </w:r>
          </w:p>
        </w:tc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stredné</w:t>
            </w:r>
          </w:p>
        </w:tc>
        <w:tc>
          <w:tcPr>
            <w:tcW w:w="8523" w:type="dxa"/>
            <w:vAlign w:val="top"/>
          </w:tcPr>
          <w:p>
            <w:pPr>
              <w:pStyle w:val="Small"/>
            </w:pPr>
            <w:r>
              <w:t xml:space="preserve">OQ-10</w:t>
            </w:r>
          </w:p>
        </w:tc>
      </w:tr>
      <w:tr>
        <w:trPr>
          <w:cantSplit/>
        </w:trPr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URS-09</w:t>
            </w:r>
          </w:p>
        </w:tc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nízke</w:t>
            </w:r>
          </w:p>
        </w:tc>
        <w:tc>
          <w:tcPr>
            <w:tcW w:w="8523" w:type="dxa"/>
            <w:vAlign w:val="top"/>
          </w:tcPr>
          <w:p>
            <w:pPr>
              <w:pStyle w:val="Small"/>
            </w:pPr>
            <w:r>
              <w:t xml:space="preserve">OQ-11</w:t>
            </w:r>
          </w:p>
        </w:tc>
      </w:tr>
      <w:tr>
        <w:trPr>
          <w:cantSplit/>
        </w:trPr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URS-10</w:t>
            </w:r>
          </w:p>
        </w:tc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stredné</w:t>
            </w:r>
          </w:p>
        </w:tc>
        <w:tc>
          <w:tcPr>
            <w:tcW w:w="8523" w:type="dxa"/>
            <w:vAlign w:val="top"/>
          </w:tcPr>
          <w:p>
            <w:pPr>
              <w:pStyle w:val="Small"/>
            </w:pPr>
            <w:r>
              <w:t xml:space="preserve">OQ-12</w:t>
            </w:r>
          </w:p>
        </w:tc>
      </w:tr>
      <w:tr>
        <w:trPr>
          <w:cantSplit/>
        </w:trPr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URS-11</w:t>
            </w:r>
          </w:p>
        </w:tc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vysoké</w:t>
            </w:r>
          </w:p>
        </w:tc>
        <w:tc>
          <w:tcPr>
            <w:tcW w:w="8523" w:type="dxa"/>
            <w:vAlign w:val="top"/>
          </w:tcPr>
          <w:p>
            <w:pPr>
              <w:pStyle w:val="Small"/>
            </w:pPr>
            <w:r>
              <w:t xml:space="preserve">OQ-13</w:t>
            </w:r>
          </w:p>
        </w:tc>
      </w:tr>
      <w:tr>
        <w:trPr>
          <w:cantSplit/>
        </w:trPr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URS-12</w:t>
            </w:r>
          </w:p>
        </w:tc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stredné</w:t>
            </w:r>
          </w:p>
        </w:tc>
        <w:tc>
          <w:tcPr>
            <w:tcW w:w="8523" w:type="dxa"/>
            <w:vAlign w:val="top"/>
          </w:tcPr>
          <w:p>
            <w:pPr>
              <w:pStyle w:val="Small"/>
            </w:pPr>
            <w:r>
              <w:t xml:space="preserve">OQ-14</w:t>
            </w:r>
          </w:p>
        </w:tc>
      </w:tr>
      <w:tr>
        <w:trPr>
          <w:cantSplit/>
        </w:trPr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URS-13</w:t>
            </w:r>
          </w:p>
        </w:tc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stredné</w:t>
            </w:r>
          </w:p>
        </w:tc>
        <w:tc>
          <w:tcPr>
            <w:tcW w:w="8523" w:type="dxa"/>
            <w:vAlign w:val="top"/>
          </w:tcPr>
          <w:p>
            <w:pPr>
              <w:pStyle w:val="Small"/>
            </w:pPr>
            <w:r>
              <w:t xml:space="preserve">OQ-15</w:t>
            </w:r>
          </w:p>
        </w:tc>
      </w:tr>
      <w:tr>
        <w:trPr>
          <w:cantSplit/>
        </w:trPr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URS-14</w:t>
            </w:r>
          </w:p>
        </w:tc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nízke</w:t>
            </w:r>
          </w:p>
        </w:tc>
        <w:tc>
          <w:tcPr>
            <w:tcW w:w="8523" w:type="dxa"/>
            <w:vAlign w:val="top"/>
          </w:tcPr>
          <w:p>
            <w:pPr>
              <w:pStyle w:val="Small"/>
            </w:pPr>
            <w:r>
              <w:t xml:space="preserve">OQ-16, OQ-17</w:t>
            </w:r>
          </w:p>
        </w:tc>
      </w:tr>
      <w:tr>
        <w:trPr>
          <w:cantSplit/>
        </w:trPr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URS-15</w:t>
            </w:r>
          </w:p>
        </w:tc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vysoké</w:t>
            </w:r>
          </w:p>
        </w:tc>
        <w:tc>
          <w:tcPr>
            <w:tcW w:w="8523" w:type="dxa"/>
            <w:vAlign w:val="top"/>
          </w:tcPr>
          <w:p>
            <w:pPr>
              <w:pStyle w:val="Small"/>
            </w:pPr>
            <w:r>
              <w:t xml:space="preserve">OQ-18, IQ-05</w:t>
            </w:r>
          </w:p>
        </w:tc>
      </w:tr>
      <w:tr>
        <w:trPr>
          <w:cantSplit/>
        </w:trPr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URS-16</w:t>
            </w:r>
          </w:p>
        </w:tc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nízke</w:t>
            </w:r>
          </w:p>
        </w:tc>
        <w:tc>
          <w:tcPr>
            <w:tcW w:w="8523" w:type="dxa"/>
            <w:vAlign w:val="top"/>
          </w:tcPr>
          <w:p>
            <w:pPr>
              <w:pStyle w:val="Small"/>
            </w:pPr>
            <w:r>
              <w:t xml:space="preserve">OQ-19</w:t>
            </w:r>
          </w:p>
        </w:tc>
      </w:tr>
      <w:tr>
        <w:trPr>
          <w:cantSplit/>
        </w:trPr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URS-17</w:t>
            </w:r>
          </w:p>
        </w:tc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stredné</w:t>
            </w:r>
          </w:p>
        </w:tc>
        <w:tc>
          <w:tcPr>
            <w:tcW w:w="8523" w:type="dxa"/>
            <w:vAlign w:val="top"/>
          </w:tcPr>
          <w:p>
            <w:pPr>
              <w:pStyle w:val="Small"/>
            </w:pPr>
            <w:r>
              <w:t xml:space="preserve">OQ-20</w:t>
            </w:r>
          </w:p>
        </w:tc>
      </w:tr>
      <w:tr>
        <w:trPr>
          <w:cantSplit/>
        </w:trPr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URS-18</w:t>
            </w:r>
          </w:p>
        </w:tc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stredné</w:t>
            </w:r>
          </w:p>
        </w:tc>
        <w:tc>
          <w:tcPr>
            <w:tcW w:w="8523" w:type="dxa"/>
            <w:vAlign w:val="top"/>
          </w:tcPr>
          <w:p>
            <w:pPr>
              <w:pStyle w:val="Small"/>
            </w:pPr>
            <w:r>
              <w:t xml:space="preserve">PQ-05</w:t>
            </w:r>
          </w:p>
        </w:tc>
      </w:tr>
      <w:tr>
        <w:trPr>
          <w:cantSplit/>
        </w:trPr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URS-19</w:t>
            </w:r>
          </w:p>
        </w:tc>
        <w:tc>
          <w:tcPr>
            <w:tcW w:w="3023" w:type="dxa"/>
            <w:vAlign w:val="top"/>
          </w:tcPr>
          <w:p>
            <w:pPr>
              <w:pStyle w:val="Small"/>
            </w:pPr>
            <w:r>
              <w:t xml:space="preserve">stredné</w:t>
            </w:r>
          </w:p>
        </w:tc>
        <w:tc>
          <w:tcPr>
            <w:tcW w:w="8523" w:type="dxa"/>
            <w:vAlign w:val="top"/>
          </w:tcPr>
          <w:p>
            <w:pPr>
              <w:pStyle w:val="Small"/>
            </w:pPr>
            <w:r>
              <w:t xml:space="preserve">OQ-21</w:t>
            </w:r>
          </w:p>
        </w:tc>
      </w:tr>
    </w:tbl>
    <w:p/>
    <w:p>
      <w:pPr>
        <w:pStyle w:val="Heading1"/>
        <w:keepNext/>
      </w:pPr>
      <w:r>
        <w:t xml:space="preserve">4. Schválenie</w:t>
      </w:r>
    </w:p>
    <w:p>
      <w:r>
        <w:t xml:space="preserve">Vypracoval: </w:t>
      </w:r>
      <w:r>
        <w:rPr>
          <w:highlight w:val="yellow"/>
        </w:rPr>
        <w:t xml:space="preserve">[DOPLNIŤ meno]</w:t>
      </w:r>
      <w:r>
        <w:t xml:space="preserve"> · Dátum: ______ · Podpis: ______</w:t>
      </w:r>
    </w:p>
    <w:p>
      <w:r>
        <w:t xml:space="preserve">Preskúmal: </w:t>
      </w:r>
      <w:r>
        <w:rPr>
          <w:highlight w:val="yellow"/>
        </w:rPr>
        <w:t xml:space="preserve">[DOPLNIŤ meno]</w:t>
      </w:r>
      <w:r>
        <w:t xml:space="preserve"> · Dátum: ______ · Podpis: ______</w:t>
      </w:r>
    </w:p>
    <w:p>
      <w:r>
        <w:t xml:space="preserve">Schválil (odborný zástupca): </w:t>
      </w:r>
      <w:r>
        <w:rPr>
          <w:highlight w:val="yellow"/>
        </w:rPr>
        <w:t xml:space="preserve">[DOPLNIŤ meno]</w:t>
      </w:r>
      <w:r>
        <w:t xml:space="preserve"> · Dátum: ______ · Podpis: ______</w:t>
      </w:r>
    </w:p>
    <w:sectPr>
      <w:headerReference w:type="default" r:id="rIdH1"/>
      <w:footerReference w:type="default" r:id="rIdF1"/>
      <w:pgSz w:w="16838" w:h="11906" w:orient="landscape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Small"/>
      <w:jc w:val="center"/>
    </w:pPr>
    <w:r>
      <w:rPr>
        <w:color w:val="5B6E7A"/>
      </w:rPr>
      <w:t xml:space="preserve">PHARMACOPOLA s.r.o. · VAL-SA-02 Analýza rizík a matica sledovateľnosti – aplikácia SOP Archív · Verzia 1 · NÁVRH – neriadená kópia</w:t>
    </w: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082"/>
      <w:gridCol w:w="6803"/>
      <w:gridCol w:w="3686"/>
    </w:tblGrid>
    <w:tr>
      <w:tc>
        <w:tcPr>
          <w:tcW w:w="4082" w:type="dxa"/>
          <w:vAlign w:val="center"/>
        </w:tcPr>
        <w:p>
          <w:r>
            <w:drawing>
              <wp:inline xmlns:wp="http://schemas.openxmlformats.org/drawingml/2006/wordprocessingDrawing" distT="0" distB="0" distL="0" distR="0">
                <wp:extent cx="1600000" cy="263111"/>
                <wp:docPr id="1" name="Logo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xmlns:r="http://schemas.openxmlformats.org/officeDocument/2006/relationships"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000" cy="263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3" w:type="dxa"/>
          <w:vAlign w:val="center"/>
        </w:tcPr>
        <w:p>
          <w:pPr>
            <w:pStyle w:val="Small"/>
            <w:jc w:val="center"/>
          </w:pPr>
          <w:r>
            <w:t xml:space="preserve">Analýza rizík</w:t>
          </w:r>
        </w:p>
        <w:p>
          <w:pPr>
            <w:jc w:val="center"/>
          </w:pPr>
          <w:r>
            <w:rPr>
              <w:b/>
              <w:color w:val="003A5B"/>
            </w:rPr>
            <w:t xml:space="preserve">Analýza rizík a matica sledovateľnosti – aplikácia SOP Archív</w:t>
          </w:r>
        </w:p>
      </w:tc>
      <w:tc>
        <w:tcPr>
          <w:tcW w:w="3686" w:type="dxa"/>
          <w:vAlign w:val="center"/>
        </w:tcPr>
        <w:p>
          <w:pPr>
            <w:pStyle w:val="Small"/>
          </w:pPr>
          <w:r>
            <w:t xml:space="preserve">Kód: VAL-SA-02</w:t>
          </w:r>
        </w:p>
        <w:p>
          <w:pPr>
            <w:pStyle w:val="Small"/>
          </w:pPr>
          <w:r>
            <w:t xml:space="preserve">Verzia: 1</w:t>
          </w:r>
        </w:p>
        <w:p>
          <w:pPr>
            <w:pStyle w:val="Small"/>
          </w:pPr>
          <w:r>
            <w:t xml:space="preserve">Strana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z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/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sk-SK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pPr>
      <w:jc w:val="both"/>
    </w:pPr>
  </w:style>
  <w:style w:type="paragraph" w:styleId="Title">
    <w:name w:val="Title"/>
    <w:basedOn w:val="Normal"/>
    <w:pPr>
      <w:jc w:val="center"/>
      <w:spacing w:before="120" w:after="240"/>
    </w:pPr>
    <w:rPr>
      <w:b/>
      <w:color w:val="003A5B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360" w:after="120"/>
      <w:jc w:val="left"/>
      <w:outlineLvl w:val="0"/>
    </w:pPr>
    <w:rPr>
      <w:b/>
      <w:color w:val="003A5B"/>
      <w:sz w:val="26"/>
      <w:szCs w:val="26"/>
    </w:rPr>
  </w:style>
  <w:style w:type="paragraph" w:styleId="Heading2">
    <w:name w:val="heading 2"/>
    <w:basedOn w:val="Normal"/>
    <w:next w:val="Normal"/>
    <w:pPr>
      <w:keepNext/>
      <w:spacing w:before="200" w:after="80"/>
      <w:jc w:val="left"/>
      <w:outlineLvl w:val="1"/>
    </w:pPr>
    <w:rPr>
      <w:b/>
      <w:color w:val="007A69"/>
      <w:sz w:val="23"/>
      <w:szCs w:val="23"/>
    </w:rPr>
  </w:style>
  <w:style w:type="paragraph" w:styleId="ListParagraph">
    <w:name w:val="List Paragraph"/>
    <w:basedOn w:val="Normal"/>
    <w:pPr>
      <w:spacing w:after="60"/>
      <w:ind w:left="720"/>
      <w:jc w:val="left"/>
    </w:pPr>
  </w:style>
  <w:style w:type="paragraph" w:styleId="Small">
    <w:name w:val="Small"/>
    <w:basedOn w:val="Normal"/>
    <w:pPr>
      <w:spacing w:after="0"/>
      <w:jc w:val="left"/>
    </w:pPr>
    <w:rPr>
      <w:sz w:val="18"/>
      <w:szCs w:val="18"/>
    </w:rPr>
  </w:style>
  <w:style w:type="table" w:styleId="TableGrid">
    <w:name w:val="Table Grid"/>
    <w:tblPr>
      <w:tblBorders>
        <w:top w:val="single" w:sz="4" w:space="0" w:color="9FB8C7"/>
        <w:left w:val="single" w:sz="4" w:space="0" w:color="9FB8C7"/>
        <w:bottom w:val="single" w:sz="4" w:space="0" w:color="9FB8C7"/>
        <w:right w:val="single" w:sz="4" w:space="0" w:color="9FB8C7"/>
        <w:insideH w:val="single" w:sz="4" w:space="0" w:color="9FB8C7"/>
        <w:insideV w:val="single" w:sz="4" w:space="0" w:color="9FB8C7"/>
      </w:tblBorders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H1" Type="http://schemas.openxmlformats.org/officeDocument/2006/relationships/header" Target="header1.xml"/><Relationship Id="rIdF1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logo.png"/></Relationships>
</file>

<file path=docProps/app.xml><?xml version="1.0" encoding="utf-8"?>
<Properties xmlns="http://schemas.openxmlformats.org/officeDocument/2006/extended-properties">
  <Application>SOP Archiv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VAL-SA-02 – Analýza rizík a matica sledovateľnosti – aplikácia SOP Archív</dc:title>
  <dc:creator/>
  <cp:lastModifiedBy/>
  <dcterms:created xsi:type="dcterms:W3CDTF">2026-10-08T11:56:02Z</dcterms:created>
  <dcterms:modified xsi:type="dcterms:W3CDTF">2026-10-08T11:56:02Z</dcterms:modified>
</cp:coreProperties>
</file>