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jc w:val="center"/>
      </w:pPr>
      <w:r>
        <w:rPr>
          <w:b/>
          <w:color w:val="003A5B"/>
        </w:rPr>
        <w:t xml:space="preserve">PHARMACOPOLA s.r.o.</w:t>
      </w:r>
    </w:p>
    <w:p>
      <w:pPr>
        <w:jc w:val="center"/>
      </w:pPr>
      <w:r>
        <w:rPr>
          <w:color w:val="5B6E7A"/>
          <w:sz w:val="20"/>
          <w:szCs w:val="20"/>
        </w:rPr>
        <w:t xml:space="preserve">TESTOVACÍ PROTOKOL</w:t>
      </w:r>
    </w:p>
    <w:p>
      <w:pPr>
        <w:pStyle w:val="Title"/>
      </w:pPr>
      <w:r>
        <w:t xml:space="preserve">Testovací protokol IQ / OQ / PQ – aplikácia SOP Archív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628"/>
        <w:gridCol w:w="3628"/>
        <w:gridCol w:w="3628"/>
        <w:gridCol w:w="3686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Kód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Verzia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Účinnosť od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Útvar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t xml:space="preserve">VAL-SA-03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1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rPr>
                <w:highlight w:val="yellow"/>
              </w:rPr>
              <w:t xml:space="preserve">[DOPLNIŤ]</w:t>
            </w:r>
          </w:p>
        </w:tc>
        <w:tc>
          <w:tcPr>
            <w:vAlign w:val="center"/>
          </w:tcPr>
          <w:p>
            <w:pPr>
              <w:pStyle w:val="Small"/>
            </w:pPr>
            <w:r>
              <w:t xml:space="preserve">Kvalita (QA)</w:t>
            </w:r>
          </w:p>
        </w:tc>
      </w:tr>
    </w:tbl>
    <w:p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70"/>
        <w:gridCol w:w="3930"/>
        <w:gridCol w:w="3023"/>
        <w:gridCol w:w="2268"/>
        <w:gridCol w:w="2779"/>
      </w:tblGrid>
      <w:tr>
        <w:tc>
          <w:tcPr>
            <w:shd w:val="clear" w:color="auto" w:fill="EAF0F3"/>
            <w:vAlign w:val="center"/>
          </w:tcPr>
          <w:p>
            <w:pPr>
              <w:pStyle w:val="Small"/>
            </w:pP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Meno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Funkcia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Dátum</w:t>
            </w:r>
          </w:p>
        </w:tc>
        <w:tc>
          <w:tcPr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Podpis</w:t>
            </w: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Vypracoval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Preskúmal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  <w:tr>
        <w:tc>
          <w:tcPr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Schválil</w:t>
            </w: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  <w:tc>
          <w:tcPr>
            <w:vAlign w:val="center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1. Pokyny</w:t>
      </w:r>
    </w:p>
    <w:p>
      <w:pPr>
        <w:pStyle w:val="ListParagraph"/>
        <w:numPr>
          <w:ilvl w:val="0"/>
          <w:numId w:val="1"/>
        </w:numPr>
      </w:pPr>
      <w:r>
        <w:t xml:space="preserve">Test vykoná určená osoba podľa krokov, výsledok zapíše („vyhovel / nevyhovel“), priloží dôkaz (snímka obrazovky, export) a podpíše s dátumom.</w:t>
      </w:r>
    </w:p>
    <w:p>
      <w:pPr>
        <w:pStyle w:val="ListParagraph"/>
        <w:numPr>
          <w:ilvl w:val="0"/>
          <w:numId w:val="1"/>
        </w:numPr>
      </w:pPr>
      <w:r>
        <w:t xml:space="preserve">Nevyhovujúci výsledok = odchýlka: opíše sa v kap. 5 a posúdi.</w:t>
      </w:r>
    </w:p>
    <w:p>
      <w:pPr>
        <w:pStyle w:val="ListParagraph"/>
        <w:numPr>
          <w:ilvl w:val="0"/>
          <w:numId w:val="1"/>
        </w:numPr>
      </w:pPr>
      <w:r>
        <w:t xml:space="preserve">Automatický dôkaz: každá verzia aplikácie prechádza úplným automatickým testom (výpis „All e2e checks passed“ a snímky obrazovky z CI, verzia </w:t>
      </w:r>
      <w:r>
        <w:rPr>
          <w:highlight w:val="yellow"/>
        </w:rPr>
        <w:t xml:space="preserve">[DOPLNIŤ]</w:t>
      </w:r>
      <w:r>
        <w:t xml:space="preserve">); priložiť výpis k protokolu.</w:t>
      </w:r>
    </w:p>
    <w:p>
      <w:pPr>
        <w:pStyle w:val="Heading1"/>
        <w:keepNext/>
      </w:pPr>
      <w:r>
        <w:t xml:space="preserve">2. Kvalifikácia inštalácie (IQ)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Inštalačný súbor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Zaznamenať verziu aplikácie, názov a SHA-256 inštalačného súboru.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Verzia a odtlačok zhodné s uvoľnenou verziou.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Inštalácia na počítače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Nainštalovať na každý počítač; zaznamenať názov počítača a verziu (Nastavenia → O aplikácii).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sa spustí, verzia zhodná.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Priečinok archívu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 umiestnenie na firemnom sieťovom disku, nie v cloude; práva na zápis pre používateľov.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Aplikácia neupozorňuje na cloud; všetci určení používatelia môžu pracovať.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Prvé spustenie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Vytvoriť profil správcu; vytlačiť a uložiť kód na obnovenie; vyplniť profil spoločnosti.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Kód uložený na určenom mieste; profil vyplnený.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Zálohovanie priečinka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IT nastaví zálohovanie priečinka archívu; vykonať skúšobnú obnovu do iného priečinka a otvoriť ju.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Obnovený archív sa otvorí heslom; dokumenty sú čitateľné.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IQ-06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Čas počítačov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Overiť, že počítače majú synchronizovaný čas (doména / NTP).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Rozdiel času do 1 minúty.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3. Prevádzková kvalifikácia (OQ)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3"/>
        <w:gridCol w:w="1738"/>
        <w:gridCol w:w="3628"/>
        <w:gridCol w:w="3175"/>
        <w:gridCol w:w="2570"/>
        <w:gridCol w:w="2476"/>
      </w:tblGrid>
      <w:tr>
        <w:trPr>
          <w:tblHeader/>
        </w:trPr>
        <w:tc>
          <w:tcPr>
            <w:tcW w:w="983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173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362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17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57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Automatický dôkaz</w:t>
            </w:r>
          </w:p>
        </w:tc>
        <w:tc>
          <w:tcPr>
            <w:tcW w:w="2476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Import a údaje dokumentu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Importovať PDF, Word a OpenDocument; skontrolovať navrhnutý kód, názov, verziu, dátumy; uložiť.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Dokumenty sú v zozname so správnymi údajmi a stavom.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import 6 súborov; „import table“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Nová verzia, história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Nahrať novú verziu dokumentu; otvoriť dokument.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Stará verzia je nahradená, nie zmenená; otvorí sa kópia len na čítanie.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„Nová verzia“ v histórii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Roly a oprávnenia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Prihlásiť sa ako Čitateľ; skúsiť zmeniť údaje dokumentu (aj priamo cez jadro).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Zmena je odmietnutá.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„reader cannot change anything (UI and core)“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Heslá a prihlásenie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Nesprávne heslo 5×; nový používateľ s heslom od správcu; prihlásiť sa.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Zablokovanie na chvíľu, zaznamenané; pri prvom prihlásení vynútená zmena hesla, rovnaké heslo odmietnuté.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„wrong password rejected and audited“; vynútená zmena hesla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Potvrdenie „prečítal som“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Zamestnanec potvrdí dokument nesprávnym a potom správnym heslom.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záznam s menom a časom.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„reading confirmed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Auditný záznam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Vykonať zmeny; otvoriť Auditný záznam; filtrovať podľa dokumentu a „len zmeny“; exportovať PDF a Excel; overiť úplnosť.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Záznamy s menom, počítačom, časom; export obsahuje filter; úplnosť overená.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„audit trail: filtered…, exported…“; test reťaze (unit)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Šifrovanie a sieť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Skontrolovať súbory archívu bez aplikácie; skúsiť z rozhrania otvoriť internetovú stránku; pozrieť Sieťovú aktivitu.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Obsah nečitateľný; rozhranie bez internetu; zoznam len povolených spojení.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„archive folder encrypted“, „UI cannot reach the internet“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Schvaľovanie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Odoslať verziu na schválenie; podpísať nesprávnym a správnym heslom; zamietnuť bez dôvodu.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Nesprávne heslo odmietnuté; platná po podpise; zamietnutie bez dôvodu nemožné.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„approval signed with the own password“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OQ-09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Riadené a neriadené kópie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Vydať riadenú kópiu PDF; uložiť kópiu dokumentu; nahrať novú verziu.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PDF s pečiatkou „Riadená kópia č.“; uložená kópia „NERIADENÁ KÓPIA“; kópia na stiahnutie.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„controlled copy stamped…; other copies marked uncontrolled“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Školenia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Určiť, kto musí dokument poznať; zaznamenať školenie; nahrať novú verziu.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Prehľad zaškolených; nová verzia vyžaduje nové školenie.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„training: … recorded“; unit training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Revízie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Zaznamenať revíziu.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Ďalší termín posunutý podľa intervalu.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„review recorded, next review date moved“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OQ-12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Legislatíva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Spustiť kontrolu predpisu s novým znením; posúdiť dotknutý dokument; zaznamenať rozhodnutie s dôvodom.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Zmenené ustanovenia a dotknuté dokumenty; rozhodnutie s dôvodom.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„monitor: upcoming version, § diff…“, „company precedence…“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OQ-13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Oznamy úradov a EÚ databáza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Načítať oznamy zo všetkých zdrojov; posúdiť oznam o stiahnutí „opatrenia vykonané“ bez a s popisom; zmeniť stav sledovaného lieku v EÚ databáze.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Bez popisu odmietnuté; posúdenie s menom a časom; sledovaný výrobok zvýraznený; zmena sledovaného lieku zobrazená ako oznam na posúdenie.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„notices: … recall assessed…“, „EU database: 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OQ-14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Odstránenie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Skúsiť odstrániť dokument so záznamami; odstrániť nepoužitý dokument; vyprázdniť kôš.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Dokument so záznamami sa nedá odstrániť; inak dôvod a dve potvrdenia; zaznamenané.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„delete a document…, empty the trash“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OQ-15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Viac počítačov naraz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Na dvoch počítačoch súčasne meniť ten istý dokument; upraviť údaje zo zastaraného stavu.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Obe zmeny zachované; zastaraná úprava odmietnutá s menom; „Naposledy zmenil(a)“.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„two computers change it at the same time…“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OQ-16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Správa pre inšpekciu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správu PDF a Excel za obdobie.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Správa obsahuje register, revízie, legislatívu, rozhodnutia, školenia, schválenia, kópie, oznamy.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„inspection report: PDF … and Excel“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OQ-17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Čitateľný export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Vytvoriť čitateľný export; otvoriť súbory bez aplikácie; overiť odtlačok SHA-256 jedného súboru.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Všetky súbory, register s odtlačkami, správa a auditný záznam.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„readable export…“; unit export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OQ-18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Obnova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Obnoviť heslo správcu kódom na obnovenie (nesprávny a správny kód).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Nesprávny kód odmietnutý; správny nastaví nové heslo.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„recovery code…“; unit „damaged archive.json is restored“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OQ-19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Vyhľadávanie a OCR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Hľadať slovo bez diakritiky; importovať naskenované PDF.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Nájdené aj tvary slov; text skenu sa dá vyhľadať.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vyhľadávanie; „scanned PDF: text recognised…“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OQ-20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AI asistent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Zapnúť vstavanú AI; Test v Nastaveniach; navrhnúť kapitolu a úpravu odseku.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Proces AI bez siete (overené); návrh so zvýraznenými zmenami; nič sa nezmení bez uloženia autorom.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„built-in AI: … no network in the AI process“, „rewrite with AI“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983" w:type="dxa"/>
            <w:vAlign w:val="top"/>
          </w:tcPr>
          <w:p>
            <w:pPr>
              <w:pStyle w:val="Small"/>
            </w:pPr>
            <w:r>
              <w:t xml:space="preserve">OQ-21</w:t>
            </w:r>
          </w:p>
        </w:tc>
        <w:tc>
          <w:tcPr>
            <w:tcW w:w="1738" w:type="dxa"/>
            <w:vAlign w:val="top"/>
          </w:tcPr>
          <w:p>
            <w:pPr>
              <w:pStyle w:val="Small"/>
            </w:pPr>
            <w:r>
              <w:t xml:space="preserve">Aktualizácia programu</w:t>
            </w:r>
          </w:p>
        </w:tc>
        <w:tc>
          <w:tcPr>
            <w:tcW w:w="3628" w:type="dxa"/>
            <w:vAlign w:val="top"/>
          </w:tcPr>
          <w:p>
            <w:pPr>
              <w:pStyle w:val="Small"/>
            </w:pPr>
            <w:r>
              <w:t xml:space="preserve">Ako správca: Nastavenia → O aplikácii → Skontrolovať aktualizácie → Stiahnuť a nainštalovať; po reštarte skontrolovať verziu a auditný záznam.</w:t>
            </w:r>
          </w:p>
        </w:tc>
        <w:tc>
          <w:tcPr>
            <w:tcW w:w="3175" w:type="dxa"/>
            <w:vAlign w:val="top"/>
          </w:tcPr>
          <w:p>
            <w:pPr>
              <w:pStyle w:val="Small"/>
            </w:pPr>
            <w:r>
              <w:t xml:space="preserve">Nová verzia nainštalovaná; zmenený súbor by bol odmietnutý; dokumenty a profily nezmenené; inštalácia a zmena verzie v auditnom zázname.</w:t>
            </w:r>
          </w:p>
        </w:tc>
        <w:tc>
          <w:tcPr>
            <w:tcW w:w="2570" w:type="dxa"/>
            <w:vAlign w:val="top"/>
          </w:tcPr>
          <w:p>
            <w:pPr>
              <w:pStyle w:val="Small"/>
            </w:pPr>
            <w:r>
              <w:t xml:space="preserve">E2E: „one-click update … altered file refused“; CI: aktualizácia na Macu a Windows</w:t>
            </w:r>
          </w:p>
        </w:tc>
        <w:tc>
          <w:tcPr>
            <w:tcW w:w="2476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4. Kvalifikácia výkonu (PQ)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58"/>
        <w:gridCol w:w="2268"/>
        <w:gridCol w:w="4535"/>
        <w:gridCol w:w="3930"/>
        <w:gridCol w:w="2779"/>
      </w:tblGrid>
      <w:tr>
        <w:trPr>
          <w:tblHeader/>
        </w:trPr>
        <w:tc>
          <w:tcPr>
            <w:tcW w:w="105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ID</w:t>
            </w:r>
          </w:p>
        </w:tc>
        <w:tc>
          <w:tcPr>
            <w:tcW w:w="2268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Test</w:t>
            </w:r>
          </w:p>
        </w:tc>
        <w:tc>
          <w:tcPr>
            <w:tcW w:w="4535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Postup</w:t>
            </w:r>
          </w:p>
        </w:tc>
        <w:tc>
          <w:tcPr>
            <w:tcW w:w="3930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Očakávaný výsledok</w:t>
            </w:r>
          </w:p>
        </w:tc>
        <w:tc>
          <w:tcPr>
            <w:tcW w:w="2779" w:type="dxa"/>
            <w:shd w:val="clear" w:color="auto" w:fill="EAF0F3"/>
            <w:vAlign w:val="center"/>
          </w:tcPr>
          <w:p>
            <w:pPr>
              <w:pStyle w:val="Small"/>
            </w:pPr>
            <w:r>
              <w:rPr>
                <w:b/>
              </w:rPr>
              <w:t xml:space="preserve">Výsledok / podpis / dátum</w:t>
            </w: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PQ-01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Import skutočných dokumentov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kópie platných SOP, ŠPP a OS; skontrolovať kódy, verzie, dátumy.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Údaje zodpovedajú dokumentom (opravy zaznamenať).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PQ-02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Naskenované dokumenty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Importovať naskenované dokumenty; po OCR vyhľadať v nich výraz.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Text sa nájde.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PQ-03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Citované predpisy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Skontrolovať register predpisov a citácie v dokumentoch.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Citované predpisy sú sledované.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PQ-04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Bežná prevádzka 2 týždne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Pracovať s aplikáciou 2 týždne (schválenie, školenie, revízie) viacerými používateľmi.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Bez straty údajov; problémy zaznamenané.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  <w:tr>
        <w:trPr>
          <w:cantSplit/>
        </w:trPr>
        <w:tc>
          <w:tcPr>
            <w:tcW w:w="1058" w:type="dxa"/>
            <w:vAlign w:val="top"/>
          </w:tcPr>
          <w:p>
            <w:pPr>
              <w:pStyle w:val="Small"/>
            </w:pPr>
            <w:r>
              <w:t xml:space="preserve">PQ-05</w:t>
            </w:r>
          </w:p>
        </w:tc>
        <w:tc>
          <w:tcPr>
            <w:tcW w:w="2268" w:type="dxa"/>
            <w:vAlign w:val="top"/>
          </w:tcPr>
          <w:p>
            <w:pPr>
              <w:pStyle w:val="Small"/>
            </w:pPr>
            <w:r>
              <w:t xml:space="preserve">Postup pri poruche</w:t>
            </w:r>
          </w:p>
        </w:tc>
        <w:tc>
          <w:tcPr>
            <w:tcW w:w="4535" w:type="dxa"/>
            <w:vAlign w:val="top"/>
          </w:tcPr>
          <w:p>
            <w:pPr>
              <w:pStyle w:val="Small"/>
            </w:pPr>
            <w:r>
              <w:t xml:space="preserve">Simulovať nedostupnosť sieťového disku.</w:t>
            </w:r>
          </w:p>
        </w:tc>
        <w:tc>
          <w:tcPr>
            <w:tcW w:w="3930" w:type="dxa"/>
            <w:vAlign w:val="top"/>
          </w:tcPr>
          <w:p>
            <w:pPr>
              <w:pStyle w:val="Small"/>
            </w:pPr>
            <w:r>
              <w:t xml:space="preserve">Postupuje sa podľa SOP-SA-01 kap. 5.17.</w:t>
            </w:r>
          </w:p>
        </w:tc>
        <w:tc>
          <w:tcPr>
            <w:tcW w:w="2779" w:type="dxa"/>
            <w:vAlign w:val="top"/>
          </w:tcPr>
          <w:p>
            <w:pPr>
              <w:pStyle w:val="Small"/>
            </w:pPr>
          </w:p>
        </w:tc>
      </w:tr>
    </w:tbl>
    <w:p/>
    <w:p>
      <w:pPr>
        <w:pStyle w:val="Heading1"/>
        <w:keepNext/>
      </w:pPr>
      <w:r>
        <w:t xml:space="preserve">5. Odchýlky</w:t>
      </w:r>
    </w:p>
    <w:p>
      <w:r>
        <w:t xml:space="preserve">Č. odchýlky · test · opis · posúdenie dopadu · nápravné opatrenie · uzavretie (meno, dátum):</w:t>
      </w:r>
    </w:p>
    <w:p>
      <w:r>
        <w:rPr>
          <w:highlight w:val="yellow"/>
        </w:rPr>
        <w:t xml:space="preserve">[DOPLNIŤ]</w:t>
      </w:r>
    </w:p>
    <w:p>
      <w:pPr>
        <w:pStyle w:val="Heading1"/>
        <w:keepNext/>
      </w:pPr>
      <w:r>
        <w:t xml:space="preserve">6. Podpisy</w:t>
      </w:r>
    </w:p>
    <w:p>
      <w:r>
        <w:t xml:space="preserve">Vypracoval: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Preskúmal: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p>
      <w:r>
        <w:t xml:space="preserve">Schválil (odborný zástupca): </w:t>
      </w:r>
      <w:r>
        <w:rPr>
          <w:highlight w:val="yellow"/>
        </w:rPr>
        <w:t xml:space="preserve">[DOPLNIŤ meno]</w:t>
      </w:r>
      <w:r>
        <w:t xml:space="preserve"> · Dátum: ______ · Podpis: ______</w:t>
      </w:r>
    </w:p>
    <w:sectPr>
      <w:headerReference w:type="default" r:id="rIdH1"/>
      <w:footerReference w:type="default" r:id="rIdF1"/>
      <w:pgSz w:w="16838" w:h="11906" w:orient="landscape"/>
      <w:pgMar w:top="1134" w:right="1134" w:bottom="1134" w:left="1134" w:header="567" w:footer="567" w:gutter="0"/>
    </w:sectPr>
  </w:body>
</w:document>
</file>

<file path=word/footer1.xml><?xml version="1.0" encoding="utf-8"?>
<w:ftr xmlns:w="http://schemas.openxmlformats.org/wordprocessingml/2006/main">
  <w:p>
    <w:pPr>
      <w:pStyle w:val="Small"/>
      <w:jc w:val="center"/>
    </w:pPr>
    <w:r>
      <w:rPr>
        <w:color w:val="5B6E7A"/>
      </w:rPr>
      <w:t xml:space="preserve">PHARMACOPOLA s.r.o. · VAL-SA-03 Testovací protokol IQ / OQ / PQ – aplikácia SOP Archív · Verzia 1 · NÁVRH – neriadená kópia</w:t>
    </w:r>
  </w:p>
</w:ftr>
</file>

<file path=word/header1.xml><?xml version="1.0" encoding="utf-8"?>
<w:hdr xmlns:w="http://schemas.openxmlformats.org/wordprocessingml/2006/main" xmlns:r="http://schemas.openxmlformats.org/officeDocument/2006/relationships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4082"/>
      <w:gridCol w:w="6803"/>
      <w:gridCol w:w="3686"/>
    </w:tblGrid>
    <w:tr>
      <w:tc>
        <w:tcPr>
          <w:tcW w:w="4082" w:type="dxa"/>
          <w:vAlign w:val="center"/>
        </w:tcPr>
        <w:p>
          <w:r>
            <w:drawing>
              <wp:inline xmlns:wp="http://schemas.openxmlformats.org/drawingml/2006/wordprocessingDrawing" distT="0" distB="0" distL="0" distR="0">
                <wp:extent cx="1600000" cy="263111"/>
                <wp:docPr id="1" name="Logo"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logo.png"/>
                        <pic:cNvPicPr/>
                      </pic:nvPicPr>
                      <pic:blipFill>
                        <a:blip xmlns:r="http://schemas.openxmlformats.org/officeDocument/2006/relationships" r:embed="rId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00000" cy="2631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803" w:type="dxa"/>
          <w:vAlign w:val="center"/>
        </w:tcPr>
        <w:p>
          <w:pPr>
            <w:pStyle w:val="Small"/>
            <w:jc w:val="center"/>
          </w:pPr>
          <w:r>
            <w:t xml:space="preserve">Testovací protokol</w:t>
          </w:r>
        </w:p>
        <w:p>
          <w:pPr>
            <w:jc w:val="center"/>
          </w:pPr>
          <w:r>
            <w:rPr>
              <w:b/>
              <w:color w:val="003A5B"/>
            </w:rPr>
            <w:t xml:space="preserve">Testovací protokol IQ / OQ / PQ – aplikácia SOP Archív</w:t>
          </w:r>
        </w:p>
      </w:tc>
      <w:tc>
        <w:tcPr>
          <w:tcW w:w="3686" w:type="dxa"/>
          <w:vAlign w:val="center"/>
        </w:tcPr>
        <w:p>
          <w:pPr>
            <w:pStyle w:val="Small"/>
          </w:pPr>
          <w:r>
            <w:t xml:space="preserve">Kód: VAL-SA-03</w:t>
          </w:r>
        </w:p>
        <w:p>
          <w:pPr>
            <w:pStyle w:val="Small"/>
          </w:pPr>
          <w:r>
            <w:t xml:space="preserve">Verzia: 1</w:t>
          </w:r>
        </w:p>
        <w:p>
          <w:pPr>
            <w:pStyle w:val="Small"/>
          </w:pPr>
          <w:r>
            <w:t xml:space="preserve">Strana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t xml:space="preserve"> z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/>
</w:hd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–"/>
      <w:lvlJc w:val="left"/>
      <w:pPr>
        <w:ind w:left="720" w:hanging="36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sk-SK"/>
      </w:rPr>
    </w:rPrDefault>
    <w:pPrDefault>
      <w:pPr>
        <w:spacing w:after="120" w:line="264" w:lineRule="auto"/>
      </w:pPr>
    </w:pPrDefault>
  </w:docDefaults>
  <w:style w:type="paragraph" w:default="1" w:styleId="Normal">
    <w:name w:val="Normal"/>
    <w:pPr>
      <w:jc w:val="both"/>
    </w:pPr>
  </w:style>
  <w:style w:type="paragraph" w:styleId="Title">
    <w:name w:val="Title"/>
    <w:basedOn w:val="Normal"/>
    <w:pPr>
      <w:jc w:val="center"/>
      <w:spacing w:before="120" w:after="240"/>
    </w:pPr>
    <w:rPr>
      <w:b/>
      <w:color w:val="003A5B"/>
      <w:sz w:val="36"/>
      <w:szCs w:val="36"/>
    </w:rPr>
  </w:style>
  <w:style w:type="paragraph" w:styleId="Heading1">
    <w:name w:val="heading 1"/>
    <w:basedOn w:val="Normal"/>
    <w:next w:val="Normal"/>
    <w:pPr>
      <w:keepNext/>
      <w:spacing w:before="360" w:after="120"/>
      <w:jc w:val="left"/>
      <w:outlineLvl w:val="0"/>
    </w:pPr>
    <w:rPr>
      <w:b/>
      <w:color w:val="003A5B"/>
      <w:sz w:val="26"/>
      <w:szCs w:val="26"/>
    </w:rPr>
  </w:style>
  <w:style w:type="paragraph" w:styleId="Heading2">
    <w:name w:val="heading 2"/>
    <w:basedOn w:val="Normal"/>
    <w:next w:val="Normal"/>
    <w:pPr>
      <w:keepNext/>
      <w:spacing w:before="200" w:after="80"/>
      <w:jc w:val="left"/>
      <w:outlineLvl w:val="1"/>
    </w:pPr>
    <w:rPr>
      <w:b/>
      <w:color w:val="007A69"/>
      <w:sz w:val="23"/>
      <w:szCs w:val="23"/>
    </w:rPr>
  </w:style>
  <w:style w:type="paragraph" w:styleId="ListParagraph">
    <w:name w:val="List Paragraph"/>
    <w:basedOn w:val="Normal"/>
    <w:pPr>
      <w:spacing w:after="60"/>
      <w:ind w:left="720"/>
      <w:jc w:val="left"/>
    </w:pPr>
  </w:style>
  <w:style w:type="paragraph" w:styleId="Small">
    <w:name w:val="Small"/>
    <w:basedOn w:val="Normal"/>
    <w:pPr>
      <w:spacing w:after="0"/>
      <w:jc w:val="left"/>
    </w:pPr>
    <w:rPr>
      <w:sz w:val="18"/>
      <w:szCs w:val="18"/>
    </w:rPr>
  </w:style>
  <w:style w:type="table" w:styleId="TableGrid">
    <w:name w:val="Table Grid"/>
    <w:tblPr>
      <w:tblBorders>
        <w:top w:val="single" w:sz="4" w:space="0" w:color="9FB8C7"/>
        <w:left w:val="single" w:sz="4" w:space="0" w:color="9FB8C7"/>
        <w:bottom w:val="single" w:sz="4" w:space="0" w:color="9FB8C7"/>
        <w:right w:val="single" w:sz="4" w:space="0" w:color="9FB8C7"/>
        <w:insideH w:val="single" w:sz="4" w:space="0" w:color="9FB8C7"/>
        <w:insideV w:val="single" w:sz="4" w:space="0" w:color="9FB8C7"/>
      </w:tblBorders>
      <w:tblCellMar>
        <w:top w:w="40" w:type="dxa"/>
        <w:left w:w="100" w:type="dxa"/>
        <w:bottom w:w="40" w:type="dxa"/>
        <w:right w:w="100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numbering" Target="numbering.xml"/><Relationship Id="rIdH1" Type="http://schemas.openxmlformats.org/officeDocument/2006/relationships/header" Target="header1.xml"/><Relationship Id="rIdF1" Type="http://schemas.openxmlformats.org/officeDocument/2006/relationships/footer" Target="footer1.xml"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docProps/app.xml><?xml version="1.0" encoding="utf-8"?>
<Properties xmlns="http://schemas.openxmlformats.org/officeDocument/2006/extended-properties">
  <Application>SOP Archiv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VAL-SA-03 – Testovací protokol IQ / OQ / PQ – aplikácia SOP Archív</dc:title>
  <dc:creator/>
  <cp:lastModifiedBy/>
  <dcterms:created xsi:type="dcterms:W3CDTF">2026-10-09T06:29:04Z</dcterms:created>
  <dcterms:modified xsi:type="dcterms:W3CDTF">2026-10-09T06:29:04Z</dcterms:modified>
</cp:coreProperties>
</file>