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</w:pPr>
      <w:r>
        <w:rPr>
          <w:b/>
          <w:color w:val="003A5B"/>
        </w:rPr>
        <w:t xml:space="preserve">PHARMACOPOLA s.r.o.</w:t>
      </w:r>
    </w:p>
    <w:p>
      <w:pPr>
        <w:jc w:val="center"/>
      </w:pPr>
      <w:r>
        <w:rPr>
          <w:color w:val="5B6E7A"/>
          <w:sz w:val="20"/>
          <w:szCs w:val="20"/>
        </w:rPr>
        <w:t xml:space="preserve">ANALÝZA RIZÍK</w:t>
      </w:r>
    </w:p>
    <w:p>
      <w:pPr>
        <w:pStyle w:val="Title"/>
      </w:pPr>
      <w:r>
        <w:t xml:space="preserve">Analýza rizík a matica sledovateľnosti – aplikácia SOP Archív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28"/>
        <w:gridCol w:w="3628"/>
        <w:gridCol w:w="3628"/>
        <w:gridCol w:w="3686"/>
      </w:tblGrid>
      <w:tr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Kód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Verzia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Účinnosť od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Útvar</w:t>
            </w: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t xml:space="preserve">VAL-SA-02</w:t>
            </w:r>
          </w:p>
        </w:tc>
        <w:tc>
          <w:tcPr>
            <w:vAlign w:val="center"/>
          </w:tcPr>
          <w:p>
            <w:pPr>
              <w:pStyle w:val="Small"/>
            </w:pPr>
            <w:r>
              <w:t xml:space="preserve">1</w:t>
            </w:r>
          </w:p>
        </w:tc>
        <w:tc>
          <w:tcPr>
            <w:vAlign w:val="center"/>
          </w:tcPr>
          <w:p>
            <w:pPr>
              <w:pStyle w:val="Small"/>
            </w:pPr>
            <w:r>
              <w:rPr>
                <w:highlight w:val="yellow"/>
              </w:rPr>
              <w:t xml:space="preserve">[DOPLNIŤ]</w:t>
            </w:r>
          </w:p>
        </w:tc>
        <w:tc>
          <w:tcPr>
            <w:vAlign w:val="center"/>
          </w:tcPr>
          <w:p>
            <w:pPr>
              <w:pStyle w:val="Small"/>
            </w:pPr>
            <w:r>
              <w:t xml:space="preserve">Kvalita (QA)</w:t>
            </w:r>
          </w:p>
        </w:tc>
      </w:tr>
    </w:tbl>
    <w:p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70"/>
        <w:gridCol w:w="3930"/>
        <w:gridCol w:w="3023"/>
        <w:gridCol w:w="2268"/>
        <w:gridCol w:w="2779"/>
      </w:tblGrid>
      <w:tr>
        <w:tc>
          <w:tcPr>
            <w:shd w:val="clear" w:color="auto" w:fill="EAF0F3"/>
            <w:vAlign w:val="center"/>
          </w:tcPr>
          <w:p>
            <w:pPr>
              <w:pStyle w:val="Small"/>
            </w:pP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Meno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Funkcia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Dátum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Podpis</w:t>
            </w: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Vypracoval</w:t>
            </w: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Preskúmal</w:t>
            </w: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Schválil</w:t>
            </w: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</w:tr>
    </w:tbl>
    <w:p/>
    <w:p>
      <w:pPr>
        <w:pStyle w:val="Heading1"/>
        <w:keepNext/>
      </w:pPr>
      <w:r>
        <w:t xml:space="preserve">1. Metóda</w:t>
      </w:r>
    </w:p>
    <w:p>
      <w:r>
        <w:t xml:space="preserve">Pre každú požiadavku sa posúdi, čo môže zlyhať, aký to má dopad na kvalitu liekov, pacienta alebo súlad so SDP, pravdepodobnosť (P) a odhaliteľnosť (D). Výsledné riziko (nízke / stredné / vysoké) určuje rozsah testov. Uvedené sú opatrenia v aplikácii aj procedurálne opatrenia (SOP-SA-01).</w:t>
      </w:r>
    </w:p>
    <w:p>
      <w:pPr>
        <w:pStyle w:val="Heading1"/>
        <w:keepNext/>
      </w:pPr>
      <w:r>
        <w:t xml:space="preserve">2. Analýza rizík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7"/>
        <w:gridCol w:w="1965"/>
        <w:gridCol w:w="1738"/>
        <w:gridCol w:w="907"/>
        <w:gridCol w:w="907"/>
        <w:gridCol w:w="1134"/>
        <w:gridCol w:w="2419"/>
        <w:gridCol w:w="1965"/>
        <w:gridCol w:w="1947"/>
      </w:tblGrid>
      <w:tr>
        <w:trPr>
          <w:tblHeader/>
        </w:trPr>
        <w:tc>
          <w:tcPr>
            <w:tcW w:w="1587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Požiadavka</w:t>
            </w:r>
          </w:p>
        </w:tc>
        <w:tc>
          <w:tcPr>
            <w:tcW w:w="1965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Čo môže zlyhať</w:t>
            </w:r>
          </w:p>
        </w:tc>
        <w:tc>
          <w:tcPr>
            <w:tcW w:w="1738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Dopad</w:t>
            </w:r>
          </w:p>
        </w:tc>
        <w:tc>
          <w:tcPr>
            <w:tcW w:w="907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</w:t>
            </w:r>
          </w:p>
        </w:tc>
        <w:tc>
          <w:tcPr>
            <w:tcW w:w="907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D</w:t>
            </w:r>
          </w:p>
        </w:tc>
        <w:tc>
          <w:tcPr>
            <w:tcW w:w="1134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Riziko</w:t>
            </w:r>
          </w:p>
        </w:tc>
        <w:tc>
          <w:tcPr>
            <w:tcW w:w="2419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Opatrenia v aplikácii</w:t>
            </w:r>
          </w:p>
        </w:tc>
        <w:tc>
          <w:tcPr>
            <w:tcW w:w="1965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Procedurálne opatrenia</w:t>
            </w:r>
          </w:p>
        </w:tc>
        <w:tc>
          <w:tcPr>
            <w:tcW w:w="1947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Testy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URS-01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Používa sa neplatná verzia alebo sa stratí história.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Postup v rozpore s platným dokumentom.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nízka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Stavy, história verzií, pôvodný súbor sa nemení; otvorenie len na čítanie.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SOP-SA-01 kap. 5.3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OQ-01, OQ-02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URS-02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Neoprávnená osoba zmení alebo podpíše dokument.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Neplatný záznam, strata dôvery v systém.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nízka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vysoké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Profily, roly kontrolované jadrom, odhlásenie, blokovanie, zmena hesla pri prvom prihlásení.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Nezdieľať heslá; deaktivácia pri odchode.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OQ-03, OQ-04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URS-03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Podpis bez vedomia osoby alebo bez významu.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Neplatné schválenie / školenie.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nízka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vysoké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Podpis len vlastným heslom; meno, rola, čas uložené; nesprávne heslo zaznamenané.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Heslo ako podpis – školenie používateľov.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OQ-05, OQ-08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URS-04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Zmena alebo zmazanie záznamu bez stopy.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Nepreukázateľnosť činností pri inšpekcii.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nízka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Šifrované riadky len pridávané, súbor na počítač, reťaz odtlačkov – kontrola úplnosti.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Pri narušení oznámiť, uchovať priečinok.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OQ-06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URS-05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Únik dokumentov mimo spoločnosť.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Porušenie dôvernosti, GDPR.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nízka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vysoké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AES-256, rozhranie bez internetu, záznam sieťovej aktivity, varovanie pred cloudom.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Archív len na firemnom disku.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OQ-07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URS-06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Platná verzia bez schválenia.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Neschválený postup v praxi.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nízka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Platnosť až po poslednom podpise; zamietnutie s dôvodom.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SOP-SA-01 kap. 5.5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OQ-08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URS-07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Na pracovisku zostane stará tlačená verzia.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Postup podľa neplatnej verzie.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Evidencia kópií, zoznam na stiahnutie, pečiatky „riadená / neriadená kópia“.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Stiahnuť kópie pri novej verzii.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OQ-09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URS-08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Zamestnanec nie je zaškolený na platnú verziu.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Chyba pri práci s liekmi.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Školenie viazané na verziu, prehľad chýbajúcich, potvrdenie heslom.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SOP-SA-01 kap. 5.6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OQ-10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URS-09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Prekročený termín revízie.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Zastaraný dokument.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nízke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Upozornenia, prehľad revízií.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—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OQ-11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URS-10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Prehliadnutá zmena predpisu.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Nesúlad s legislatívou.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Automatická kontrola, zmenené ustanovenia, dotknuté dokumenty.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Posúdenie odborným zástupcom; aplikácia je pomôcka.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OQ-12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URS-11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Neposúdený oznam o stiahnutí lieku.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Distribúcia stiahnutého lieku.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nízka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vysoké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Kontrola každé 4 h, zvýraznenie, počítadlo na posúdenie, upozornenie.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Lehota na posúdenie; SOP pre stiahnutie.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OQ-13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URS-12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Zmazanie riadeného dokumentu.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Strata záznamu.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nízka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Blokovanie odstránenia, dôvod, dve potvrdenia, kôš.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—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OQ-14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URS-13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Strata zmeny pri súčasnej práci.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Chýbajúci alebo prepísaný záznam.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Krátke transakcie so zámkom, načítanie zmien, kontrola konfliktu.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—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OQ-15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URS-14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Neúplné podklady pre inšpekciu.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Zistenie pri inšpekcii.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nízka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nízke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Správa a export z jedného miesta, odtlačky súborov.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—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OQ-16, OQ-17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URS-15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Strata údajov (disk, chyba).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Strata dokumentácie.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nízka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vysoké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Predchádzajúce uloženie a denné kópie súboru archívu; kód na obnovenie.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Zálohovanie priečinka IT; ročný test obnovy.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OQ-18, IQ-05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URS-16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Dokument sa nenájde.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Zdržanie.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nízke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Fulltext so slovenčinou, OCR.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—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OQ-19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URS-17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AI vymyslí alebo zmení obsah; únik cez AI.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Nesprávny postup v dokumente.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AI len lokálne bez siete (overené); výstup len návrh so zvýraznenými zmenami; </w:t>
            </w:r>
            <w:r>
              <w:rPr>
                <w:highlight w:val="yellow"/>
              </w:rPr>
              <w:t xml:space="preserve">[DOPLNIŤ]</w:t>
            </w:r>
            <w:r>
              <w:t xml:space="preserve"> miesta.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Overenie autorom a schvaľovateľom.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OQ-20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URS-18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Aplikácia nedostupná.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Nemožnosť pracovať s dokumentmi.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nízka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—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Riadené kópie; záznam odchýlky.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PQ-05</w:t>
            </w:r>
          </w:p>
        </w:tc>
      </w:tr>
    </w:tbl>
    <w:p/>
    <w:p>
      <w:pPr>
        <w:pStyle w:val="Heading1"/>
        <w:keepNext/>
      </w:pPr>
      <w:r>
        <w:t xml:space="preserve">3. Matica sledovateľnosti</w:t>
      </w:r>
    </w:p>
    <w:p>
      <w:r>
        <w:t xml:space="preserve">Každá požiadavka (URS) → riziko → test, ktorým sa preukazuje splnenie (VAL-SA-03).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3"/>
        <w:gridCol w:w="3023"/>
        <w:gridCol w:w="8523"/>
      </w:tblGrid>
      <w:tr>
        <w:trPr>
          <w:tblHeader/>
        </w:trPr>
        <w:tc>
          <w:tcPr>
            <w:tcW w:w="3023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Požiadavka</w:t>
            </w:r>
          </w:p>
        </w:tc>
        <w:tc>
          <w:tcPr>
            <w:tcW w:w="3023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Riziko</w:t>
            </w:r>
          </w:p>
        </w:tc>
        <w:tc>
          <w:tcPr>
            <w:tcW w:w="8523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Testy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URS-01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OQ-01, OQ-02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URS-02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vysoké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OQ-03, OQ-04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URS-03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vysoké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OQ-05, OQ-08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URS-04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OQ-06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URS-05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vysoké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OQ-07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URS-06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OQ-08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URS-07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OQ-09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URS-08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OQ-10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URS-09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nízke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OQ-11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URS-10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OQ-12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URS-11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vysoké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OQ-13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URS-12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OQ-14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URS-13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OQ-15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URS-14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nízke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OQ-16, OQ-17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URS-15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vysoké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OQ-18, IQ-05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URS-16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nízke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OQ-19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URS-17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OQ-20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URS-18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PQ-05</w:t>
            </w:r>
          </w:p>
        </w:tc>
      </w:tr>
    </w:tbl>
    <w:p/>
    <w:p>
      <w:pPr>
        <w:pStyle w:val="Heading1"/>
        <w:keepNext/>
      </w:pPr>
      <w:r>
        <w:t xml:space="preserve">4. Schválenie</w:t>
      </w:r>
    </w:p>
    <w:p>
      <w:r>
        <w:t xml:space="preserve">Vypracoval: </w:t>
      </w:r>
      <w:r>
        <w:rPr>
          <w:highlight w:val="yellow"/>
        </w:rPr>
        <w:t xml:space="preserve">[DOPLNIŤ meno]</w:t>
      </w:r>
      <w:r>
        <w:t xml:space="preserve"> · Dátum: ______ · Podpis: ______</w:t>
      </w:r>
    </w:p>
    <w:p>
      <w:r>
        <w:t xml:space="preserve">Preskúmal: </w:t>
      </w:r>
      <w:r>
        <w:rPr>
          <w:highlight w:val="yellow"/>
        </w:rPr>
        <w:t xml:space="preserve">[DOPLNIŤ meno]</w:t>
      </w:r>
      <w:r>
        <w:t xml:space="preserve"> · Dátum: ______ · Podpis: ______</w:t>
      </w:r>
    </w:p>
    <w:p>
      <w:r>
        <w:t xml:space="preserve">Schválil (odborný zástupca): </w:t>
      </w:r>
      <w:r>
        <w:rPr>
          <w:highlight w:val="yellow"/>
        </w:rPr>
        <w:t xml:space="preserve">[DOPLNIŤ meno]</w:t>
      </w:r>
      <w:r>
        <w:t xml:space="preserve"> · Dátum: ______ · Podpis: ______</w:t>
      </w:r>
    </w:p>
    <w:sectPr>
      <w:headerReference w:type="default" r:id="rIdH1"/>
      <w:footerReference w:type="default" r:id="rIdF1"/>
      <w:pgSz w:w="16838" w:h="11906" w:orient="landscape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>
  <w:p>
    <w:pPr>
      <w:pStyle w:val="Small"/>
      <w:jc w:val="center"/>
    </w:pPr>
    <w:r>
      <w:rPr>
        <w:color w:val="5B6E7A"/>
      </w:rPr>
      <w:t xml:space="preserve">PHARMACOPOLA s.r.o. · VAL-SA-02 Analýza rizík a matica sledovateľnosti – aplikácia SOP Archív · Verzia 1 · NÁVRH – neriadená kópia</w:t>
    </w:r>
  </w:p>
</w:ftr>
</file>

<file path=word/header1.xml><?xml version="1.0" encoding="utf-8"?>
<w:hdr xmlns:w="http://schemas.openxmlformats.org/wordprocessingml/2006/main" xmlns:r="http://schemas.openxmlformats.org/officeDocument/2006/relationships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4082"/>
      <w:gridCol w:w="6803"/>
      <w:gridCol w:w="3686"/>
    </w:tblGrid>
    <w:tr>
      <w:tc>
        <w:tcPr>
          <w:tcW w:w="4082" w:type="dxa"/>
          <w:vAlign w:val="center"/>
        </w:tcPr>
        <w:p>
          <w:r>
            <w:drawing>
              <wp:inline xmlns:wp="http://schemas.openxmlformats.org/drawingml/2006/wordprocessingDrawing" distT="0" distB="0" distL="0" distR="0">
                <wp:extent cx="1600000" cy="263111"/>
                <wp:docPr id="1" name="Logo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ogo.png"/>
                        <pic:cNvPicPr/>
                      </pic:nvPicPr>
                      <pic:blipFill>
                        <a:blip xmlns:r="http://schemas.openxmlformats.org/officeDocument/2006/relationships"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00000" cy="2631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803" w:type="dxa"/>
          <w:vAlign w:val="center"/>
        </w:tcPr>
        <w:p>
          <w:pPr>
            <w:pStyle w:val="Small"/>
            <w:jc w:val="center"/>
          </w:pPr>
          <w:r>
            <w:t xml:space="preserve">Analýza rizík</w:t>
          </w:r>
        </w:p>
        <w:p>
          <w:pPr>
            <w:jc w:val="center"/>
          </w:pPr>
          <w:r>
            <w:rPr>
              <w:b/>
              <w:color w:val="003A5B"/>
            </w:rPr>
            <w:t xml:space="preserve">Analýza rizík a matica sledovateľnosti – aplikácia SOP Archív</w:t>
          </w:r>
        </w:p>
      </w:tc>
      <w:tc>
        <w:tcPr>
          <w:tcW w:w="3686" w:type="dxa"/>
          <w:vAlign w:val="center"/>
        </w:tcPr>
        <w:p>
          <w:pPr>
            <w:pStyle w:val="Small"/>
          </w:pPr>
          <w:r>
            <w:t xml:space="preserve">Kód: VAL-SA-02</w:t>
          </w:r>
        </w:p>
        <w:p>
          <w:pPr>
            <w:pStyle w:val="Small"/>
          </w:pPr>
          <w:r>
            <w:t xml:space="preserve">Verzia: 1</w:t>
          </w:r>
        </w:p>
        <w:p>
          <w:pPr>
            <w:pStyle w:val="Small"/>
          </w:pPr>
          <w:r>
            <w:t xml:space="preserve">Strana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 xml:space="preserve"> z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t>1</w:t>
          </w:r>
          <w:r>
            <w:fldChar w:fldCharType="end"/>
          </w:r>
        </w:p>
      </w:tc>
    </w:tr>
  </w:tbl>
  <w:p/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–"/>
      <w:lvlJc w:val="left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sk-SK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pPr>
      <w:jc w:val="both"/>
    </w:pPr>
  </w:style>
  <w:style w:type="paragraph" w:styleId="Title">
    <w:name w:val="Title"/>
    <w:basedOn w:val="Normal"/>
    <w:pPr>
      <w:jc w:val="center"/>
      <w:spacing w:before="120" w:after="240"/>
    </w:pPr>
    <w:rPr>
      <w:b/>
      <w:color w:val="003A5B"/>
      <w:sz w:val="36"/>
      <w:szCs w:val="36"/>
    </w:rPr>
  </w:style>
  <w:style w:type="paragraph" w:styleId="Heading1">
    <w:name w:val="heading 1"/>
    <w:basedOn w:val="Normal"/>
    <w:next w:val="Normal"/>
    <w:pPr>
      <w:keepNext/>
      <w:spacing w:before="360" w:after="120"/>
      <w:jc w:val="left"/>
      <w:outlineLvl w:val="0"/>
    </w:pPr>
    <w:rPr>
      <w:b/>
      <w:color w:val="003A5B"/>
      <w:sz w:val="26"/>
      <w:szCs w:val="26"/>
    </w:rPr>
  </w:style>
  <w:style w:type="paragraph" w:styleId="Heading2">
    <w:name w:val="heading 2"/>
    <w:basedOn w:val="Normal"/>
    <w:next w:val="Normal"/>
    <w:pPr>
      <w:keepNext/>
      <w:spacing w:before="200" w:after="80"/>
      <w:jc w:val="left"/>
      <w:outlineLvl w:val="1"/>
    </w:pPr>
    <w:rPr>
      <w:b/>
      <w:color w:val="007A69"/>
      <w:sz w:val="23"/>
      <w:szCs w:val="23"/>
    </w:rPr>
  </w:style>
  <w:style w:type="paragraph" w:styleId="ListParagraph">
    <w:name w:val="List Paragraph"/>
    <w:basedOn w:val="Normal"/>
    <w:pPr>
      <w:spacing w:after="60"/>
      <w:ind w:left="720"/>
      <w:jc w:val="left"/>
    </w:pPr>
  </w:style>
  <w:style w:type="paragraph" w:styleId="Small">
    <w:name w:val="Small"/>
    <w:basedOn w:val="Normal"/>
    <w:pPr>
      <w:spacing w:after="0"/>
      <w:jc w:val="left"/>
    </w:pPr>
    <w:rPr>
      <w:sz w:val="18"/>
      <w:szCs w:val="18"/>
    </w:rPr>
  </w:style>
  <w:style w:type="table" w:styleId="TableGrid">
    <w:name w:val="Table Grid"/>
    <w:tblPr>
      <w:tblBorders>
        <w:top w:val="single" w:sz="4" w:space="0" w:color="9FB8C7"/>
        <w:left w:val="single" w:sz="4" w:space="0" w:color="9FB8C7"/>
        <w:bottom w:val="single" w:sz="4" w:space="0" w:color="9FB8C7"/>
        <w:right w:val="single" w:sz="4" w:space="0" w:color="9FB8C7"/>
        <w:insideH w:val="single" w:sz="4" w:space="0" w:color="9FB8C7"/>
        <w:insideV w:val="single" w:sz="4" w:space="0" w:color="9FB8C7"/>
      </w:tblBorders>
      <w:tblCellMar>
        <w:top w:w="40" w:type="dxa"/>
        <w:left w:w="100" w:type="dxa"/>
        <w:bottom w:w="40" w:type="dxa"/>
        <w:right w:w="10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numbering" Target="numbering.xml"/><Relationship Id="rIdH1" Type="http://schemas.openxmlformats.org/officeDocument/2006/relationships/header" Target="header1.xml"/><Relationship Id="rIdF1" Type="http://schemas.openxmlformats.org/officeDocument/2006/relationships/footer" Target="footer1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logo.png"/></Relationships>
</file>

<file path=docProps/app.xml><?xml version="1.0" encoding="utf-8"?>
<Properties xmlns="http://schemas.openxmlformats.org/officeDocument/2006/extended-properties">
  <Application>SOP Archiv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VAL-SA-02 – Analýza rizík a matica sledovateľnosti – aplikácia SOP Archív</dc:title>
  <dc:creator/>
  <cp:lastModifiedBy/>
  <dcterms:created xsi:type="dcterms:W3CDTF">2026-10-07T06:49:52Z</dcterms:created>
  <dcterms:modified xsi:type="dcterms:W3CDTF">2026-10-07T06:49:52Z</dcterms:modified>
</cp:coreProperties>
</file>