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color w:val="003A5B"/>
        </w:rPr>
        <w:t xml:space="preserve">PHARMACOPOLA s.r.o.</w:t>
      </w:r>
    </w:p>
    <w:p>
      <w:pPr>
        <w:jc w:val="center"/>
      </w:pPr>
      <w:r>
        <w:rPr>
          <w:color w:val="5B6E7A"/>
          <w:sz w:val="20"/>
          <w:szCs w:val="20"/>
        </w:rPr>
        <w:t xml:space="preserve">VALIDAČNÁ SPRÁVA</w:t>
      </w:r>
    </w:p>
    <w:p>
      <w:pPr>
        <w:pStyle w:val="Title"/>
      </w:pPr>
      <w:r>
        <w:t xml:space="preserve">Validačná správa – aplikácia SOP Archív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38"/>
      </w:tblGrid>
      <w:tr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Kód</w:t>
            </w: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Verzia</w:t>
            </w: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Účinnosť od</w:t>
            </w: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Útvar</w:t>
            </w:r>
          </w:p>
        </w:tc>
      </w:tr>
      <w:tr>
        <w:tc>
          <w:tcPr>
            <w:vAlign w:val="center"/>
          </w:tcPr>
          <w:p>
            <w:pPr>
              <w:pStyle w:val="Small"/>
            </w:pPr>
            <w:r>
              <w:t xml:space="preserve">VAL-SA-04</w:t>
            </w:r>
          </w:p>
        </w:tc>
        <w:tc>
          <w:tcPr>
            <w:vAlign w:val="center"/>
          </w:tcPr>
          <w:p>
            <w:pPr>
              <w:pStyle w:val="Small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Small"/>
            </w:pPr>
            <w:r>
              <w:rPr>
                <w:highlight w:val="yellow"/>
              </w:rPr>
              <w:t xml:space="preserve">[DOPLNIŤ]</w:t>
            </w:r>
          </w:p>
        </w:tc>
        <w:tc>
          <w:tcPr>
            <w:vAlign w:val="center"/>
          </w:tcPr>
          <w:p>
            <w:pPr>
              <w:pStyle w:val="Small"/>
            </w:pPr>
            <w:r>
              <w:t xml:space="preserve">Kvalita (QA)</w:t>
            </w:r>
          </w:p>
        </w:tc>
      </w:tr>
    </w:tbl>
    <w:p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0"/>
        <w:gridCol w:w="2600"/>
        <w:gridCol w:w="2000"/>
        <w:gridCol w:w="1500"/>
        <w:gridCol w:w="1838"/>
      </w:tblGrid>
      <w:tr>
        <w:tc>
          <w:tcPr>
            <w:shd w:val="clear" w:color="auto" w:fill="EAF0F3"/>
            <w:vAlign w:val="center"/>
          </w:tcPr>
          <w:p>
            <w:pPr>
              <w:pStyle w:val="Small"/>
            </w:pP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Meno</w:t>
            </w: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Funkcia</w:t>
            </w: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Dátum</w:t>
            </w:r>
          </w:p>
        </w:tc>
        <w:tc>
          <w:tcPr>
            <w:shd w:val="clear" w:color="auto" w:fill="EAF0F3"/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Podpis</w:t>
            </w:r>
          </w:p>
        </w:tc>
      </w:tr>
      <w:tr>
        <w:tc>
          <w:tcPr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Vypracoval</w:t>
            </w: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</w:tr>
      <w:tr>
        <w:tc>
          <w:tcPr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Preskúmal</w:t>
            </w: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</w:tr>
      <w:tr>
        <w:tc>
          <w:tcPr>
            <w:vAlign w:val="center"/>
          </w:tcPr>
          <w:p>
            <w:pPr>
              <w:pStyle w:val="Small"/>
            </w:pPr>
            <w:r>
              <w:rPr>
                <w:b/>
              </w:rPr>
              <w:t xml:space="preserve">Schválil</w:t>
            </w: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  <w:tc>
          <w:tcPr>
            <w:vAlign w:val="center"/>
          </w:tcPr>
          <w:p>
            <w:pPr>
              <w:pStyle w:val="Small"/>
            </w:pPr>
          </w:p>
        </w:tc>
      </w:tr>
    </w:tbl>
    <w:p/>
    <w:p>
      <w:pPr>
        <w:pStyle w:val="Heading1"/>
        <w:keepNext/>
      </w:pPr>
      <w:r>
        <w:t xml:space="preserve">1. Súhrn</w:t>
      </w:r>
    </w:p>
    <w:p>
      <w:r>
        <w:t xml:space="preserve">Validácia aplikácie SOP Archív verzia </w:t>
      </w:r>
      <w:r>
        <w:rPr>
          <w:highlight w:val="yellow"/>
        </w:rPr>
        <w:t xml:space="preserve">[DOPLNIŤ]</w:t>
      </w:r>
      <w:r>
        <w:t xml:space="preserve"> bola vykonaná podľa plánu VAL-SA-01 v období </w:t>
      </w:r>
      <w:r>
        <w:rPr>
          <w:highlight w:val="yellow"/>
        </w:rPr>
        <w:t xml:space="preserve">[DOPLNIŤ]</w:t>
      </w:r>
      <w:r>
        <w:t xml:space="preserve">.</w:t>
      </w:r>
    </w:p>
    <w:p>
      <w:pPr>
        <w:pStyle w:val="Heading1"/>
        <w:keepNext/>
      </w:pPr>
      <w:r>
        <w:t xml:space="preserve">2. Výsledky</w:t>
      </w:r>
    </w:p>
    <w:p>
      <w:pPr>
        <w:pStyle w:val="ListParagraph"/>
        <w:numPr>
          <w:ilvl w:val="0"/>
          <w:numId w:val="1"/>
        </w:numPr>
      </w:pPr>
      <w:r>
        <w:t xml:space="preserve">IQ: </w:t>
      </w:r>
      <w:r>
        <w:rPr>
          <w:highlight w:val="yellow"/>
        </w:rPr>
        <w:t xml:space="preserve">[DOPLNIŤ: počet testov / vyhoveli]</w:t>
      </w:r>
    </w:p>
    <w:p>
      <w:pPr>
        <w:pStyle w:val="ListParagraph"/>
        <w:numPr>
          <w:ilvl w:val="0"/>
          <w:numId w:val="1"/>
        </w:numPr>
      </w:pPr>
      <w:r>
        <w:t xml:space="preserve">OQ: </w:t>
      </w:r>
      <w:r>
        <w:rPr>
          <w:highlight w:val="yellow"/>
        </w:rPr>
        <w:t xml:space="preserve">[DOPLNIŤ]</w:t>
      </w:r>
    </w:p>
    <w:p>
      <w:pPr>
        <w:pStyle w:val="ListParagraph"/>
        <w:numPr>
          <w:ilvl w:val="0"/>
          <w:numId w:val="1"/>
        </w:numPr>
      </w:pPr>
      <w:r>
        <w:t xml:space="preserve">PQ: </w:t>
      </w:r>
      <w:r>
        <w:rPr>
          <w:highlight w:val="yellow"/>
        </w:rPr>
        <w:t xml:space="preserve">[DOPLNIŤ]</w:t>
      </w:r>
    </w:p>
    <w:p>
      <w:pPr>
        <w:pStyle w:val="ListParagraph"/>
        <w:numPr>
          <w:ilvl w:val="0"/>
          <w:numId w:val="1"/>
        </w:numPr>
      </w:pPr>
      <w:r>
        <w:t xml:space="preserve">Automatické testy verzie: </w:t>
      </w:r>
      <w:r>
        <w:rPr>
          <w:highlight w:val="yellow"/>
        </w:rPr>
        <w:t xml:space="preserve">[DOPLNIŤ: dátum, výsledok]</w:t>
      </w:r>
    </w:p>
    <w:p>
      <w:pPr>
        <w:pStyle w:val="Heading1"/>
        <w:keepNext/>
      </w:pPr>
      <w:r>
        <w:t xml:space="preserve">3. Odchýlky</w:t>
      </w:r>
    </w:p>
    <w:p>
      <w:r>
        <w:rPr>
          <w:highlight w:val="yellow"/>
        </w:rPr>
        <w:t xml:space="preserve">[DOPLNIŤ: zoznam odchýlok a ich uzavretie, alebo „žiadne“]</w:t>
      </w:r>
    </w:p>
    <w:p>
      <w:pPr>
        <w:pStyle w:val="Heading1"/>
        <w:keepNext/>
      </w:pPr>
      <w:r>
        <w:t xml:space="preserve">4. Zostatkové riziká a podmienky používania</w:t>
      </w:r>
    </w:p>
    <w:p>
      <w:pPr>
        <w:pStyle w:val="ListParagraph"/>
        <w:numPr>
          <w:ilvl w:val="0"/>
          <w:numId w:val="1"/>
        </w:numPr>
      </w:pPr>
      <w:r>
        <w:t xml:space="preserve">Výstup AI asistenta je len návrh; za obsah dokumentov zodpovedá autor a schvaľovateľ.</w:t>
      </w:r>
    </w:p>
    <w:p>
      <w:pPr>
        <w:pStyle w:val="ListParagraph"/>
        <w:numPr>
          <w:ilvl w:val="0"/>
          <w:numId w:val="1"/>
        </w:numPr>
      </w:pPr>
      <w:r>
        <w:t xml:space="preserve">Analýza legislatívy je pomôcka; o dopade rozhoduje odborný zástupca.</w:t>
      </w:r>
    </w:p>
    <w:p>
      <w:pPr>
        <w:pStyle w:val="ListParagraph"/>
        <w:numPr>
          <w:ilvl w:val="0"/>
          <w:numId w:val="1"/>
        </w:numPr>
      </w:pPr>
      <w:r>
        <w:t xml:space="preserve">Zálohovanie priečinka zabezpečuje IT podľa </w:t>
      </w:r>
      <w:r>
        <w:rPr>
          <w:highlight w:val="yellow"/>
        </w:rPr>
        <w:t xml:space="preserve">[DOPLNIŤ]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highlight w:val="yellow"/>
        </w:rPr>
        <w:t xml:space="preserve">[DOPLNIŤ: ďalšie]</w:t>
      </w:r>
    </w:p>
    <w:p>
      <w:pPr>
        <w:pStyle w:val="Heading1"/>
        <w:keepNext/>
      </w:pPr>
      <w:r>
        <w:t xml:space="preserve">5. Záver</w:t>
      </w:r>
    </w:p>
    <w:p>
      <w:r>
        <w:t xml:space="preserve">Aplikácia SOP Archív [je / nie je] spôsobilá na používanie na riadenie dokumentácie podľa SOP-SA-01. Uvoľnená do prevádzky dňa </w:t>
      </w:r>
      <w:r>
        <w:rPr>
          <w:highlight w:val="yellow"/>
        </w:rPr>
        <w:t xml:space="preserve">[DOPLNIŤ]</w:t>
      </w:r>
      <w:r>
        <w:t xml:space="preserve">.</w:t>
      </w:r>
    </w:p>
    <w:p>
      <w:pPr>
        <w:pStyle w:val="Heading1"/>
        <w:keepNext/>
      </w:pPr>
      <w:r>
        <w:t xml:space="preserve">6. Schválenie</w:t>
      </w:r>
    </w:p>
    <w:p>
      <w:r>
        <w:t xml:space="preserve">Vypracoval: </w:t>
      </w:r>
      <w:r>
        <w:rPr>
          <w:highlight w:val="yellow"/>
        </w:rPr>
        <w:t xml:space="preserve">[DOPLNIŤ meno]</w:t>
      </w:r>
      <w:r>
        <w:t xml:space="preserve"> · Dátum: ______ · Podpis: ______</w:t>
      </w:r>
    </w:p>
    <w:p>
      <w:r>
        <w:t xml:space="preserve">Preskúmal: </w:t>
      </w:r>
      <w:r>
        <w:rPr>
          <w:highlight w:val="yellow"/>
        </w:rPr>
        <w:t xml:space="preserve">[DOPLNIŤ meno]</w:t>
      </w:r>
      <w:r>
        <w:t xml:space="preserve"> · Dátum: ______ · Podpis: ______</w:t>
      </w:r>
    </w:p>
    <w:p>
      <w:r>
        <w:t xml:space="preserve">Schválil (odborný zástupca): </w:t>
      </w:r>
      <w:r>
        <w:rPr>
          <w:highlight w:val="yellow"/>
        </w:rPr>
        <w:t xml:space="preserve">[DOPLNIŤ meno]</w:t>
      </w:r>
      <w:r>
        <w:t xml:space="preserve"> · Dátum: ______ · Podpis: ______</w:t>
      </w:r>
    </w:p>
    <w:sectPr>
      <w:headerReference w:type="default" r:id="rIdH1"/>
      <w:footerReference w:type="default" r:id="rIdF1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Small"/>
      <w:jc w:val="center"/>
    </w:pPr>
    <w:r>
      <w:rPr>
        <w:color w:val="5B6E7A"/>
      </w:rPr>
      <w:t xml:space="preserve">PHARMACOPOLA s.r.o. · VAL-SA-04 Validačná správa – aplikácia SOP Archív · Verzia 1 · NÁVRH – neriadená kópia</w:t>
    </w:r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2700"/>
      <w:gridCol w:w="4500"/>
      <w:gridCol w:w="2438"/>
    </w:tblGrid>
    <w:tr>
      <w:tc>
        <w:tcPr>
          <w:tcW w:w="2700" w:type="dxa"/>
          <w:vAlign w:val="center"/>
        </w:tcPr>
        <w:p>
          <w:r>
            <w:drawing>
              <wp:inline xmlns:wp="http://schemas.openxmlformats.org/drawingml/2006/wordprocessingDrawing" distT="0" distB="0" distL="0" distR="0">
                <wp:extent cx="1600000" cy="263111"/>
                <wp:docPr id="1" name="Logo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xmlns:r="http://schemas.openxmlformats.org/officeDocument/2006/relationships"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000" cy="263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00" w:type="dxa"/>
          <w:vAlign w:val="center"/>
        </w:tcPr>
        <w:p>
          <w:pPr>
            <w:pStyle w:val="Small"/>
            <w:jc w:val="center"/>
          </w:pPr>
          <w:r>
            <w:t xml:space="preserve">Validačná správa</w:t>
          </w:r>
        </w:p>
        <w:p>
          <w:pPr>
            <w:jc w:val="center"/>
          </w:pPr>
          <w:r>
            <w:rPr>
              <w:b/>
              <w:color w:val="003A5B"/>
            </w:rPr>
            <w:t xml:space="preserve">Validačná správa – aplikácia SOP Archív</w:t>
          </w:r>
        </w:p>
      </w:tc>
      <w:tc>
        <w:tcPr>
          <w:tcW w:w="2438" w:type="dxa"/>
          <w:vAlign w:val="center"/>
        </w:tcPr>
        <w:p>
          <w:pPr>
            <w:pStyle w:val="Small"/>
          </w:pPr>
          <w:r>
            <w:t xml:space="preserve">Kód: VAL-SA-04</w:t>
          </w:r>
        </w:p>
        <w:p>
          <w:pPr>
            <w:pStyle w:val="Small"/>
          </w:pPr>
          <w:r>
            <w:t xml:space="preserve">Verzia: 1</w:t>
          </w:r>
        </w:p>
        <w:p>
          <w:pPr>
            <w:pStyle w:val="Small"/>
          </w:pPr>
          <w:r>
            <w:t xml:space="preserve">Strana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z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  <w:p/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sk-SK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pPr>
      <w:jc w:val="both"/>
    </w:pPr>
  </w:style>
  <w:style w:type="paragraph" w:styleId="Title">
    <w:name w:val="Title"/>
    <w:basedOn w:val="Normal"/>
    <w:pPr>
      <w:jc w:val="center"/>
      <w:spacing w:before="120" w:after="240"/>
    </w:pPr>
    <w:rPr>
      <w:b/>
      <w:color w:val="003A5B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360" w:after="120"/>
      <w:jc w:val="left"/>
      <w:outlineLvl w:val="0"/>
    </w:pPr>
    <w:rPr>
      <w:b/>
      <w:color w:val="003A5B"/>
      <w:sz w:val="26"/>
      <w:szCs w:val="26"/>
    </w:rPr>
  </w:style>
  <w:style w:type="paragraph" w:styleId="Heading2">
    <w:name w:val="heading 2"/>
    <w:basedOn w:val="Normal"/>
    <w:next w:val="Normal"/>
    <w:pPr>
      <w:keepNext/>
      <w:spacing w:before="200" w:after="80"/>
      <w:jc w:val="left"/>
      <w:outlineLvl w:val="1"/>
    </w:pPr>
    <w:rPr>
      <w:b/>
      <w:color w:val="007A69"/>
      <w:sz w:val="23"/>
      <w:szCs w:val="23"/>
    </w:rPr>
  </w:style>
  <w:style w:type="paragraph" w:styleId="ListParagraph">
    <w:name w:val="List Paragraph"/>
    <w:basedOn w:val="Normal"/>
    <w:pPr>
      <w:spacing w:after="60"/>
      <w:ind w:left="720"/>
      <w:jc w:val="left"/>
    </w:pPr>
  </w:style>
  <w:style w:type="paragraph" w:styleId="Small">
    <w:name w:val="Small"/>
    <w:basedOn w:val="Normal"/>
    <w:pPr>
      <w:spacing w:after="0"/>
      <w:jc w:val="left"/>
    </w:pPr>
    <w:rPr>
      <w:sz w:val="18"/>
      <w:szCs w:val="18"/>
    </w:rPr>
  </w:style>
  <w:style w:type="table" w:styleId="TableGrid">
    <w:name w:val="Table Grid"/>
    <w:tblPr>
      <w:tblBorders>
        <w:top w:val="single" w:sz="4" w:space="0" w:color="9FB8C7"/>
        <w:left w:val="single" w:sz="4" w:space="0" w:color="9FB8C7"/>
        <w:bottom w:val="single" w:sz="4" w:space="0" w:color="9FB8C7"/>
        <w:right w:val="single" w:sz="4" w:space="0" w:color="9FB8C7"/>
        <w:insideH w:val="single" w:sz="4" w:space="0" w:color="9FB8C7"/>
        <w:insideV w:val="single" w:sz="4" w:space="0" w:color="9FB8C7"/>
      </w:tblBorders>
      <w:tblCellMar>
        <w:top w:w="40" w:type="dxa"/>
        <w:left w:w="100" w:type="dxa"/>
        <w:bottom w:w="40" w:type="dxa"/>
        <w:right w:w="10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numbering" Target="numbering.xml"/><Relationship Id="rIdH1" Type="http://schemas.openxmlformats.org/officeDocument/2006/relationships/header" Target="header1.xml"/><Relationship Id="rIdF1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Logo" Type="http://schemas.openxmlformats.org/officeDocument/2006/relationships/image" Target="media/logo.png"/></Relationships>
</file>

<file path=docProps/app.xml><?xml version="1.0" encoding="utf-8"?>
<Properties xmlns="http://schemas.openxmlformats.org/officeDocument/2006/extended-properties">
  <Application>SOP Archiv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VAL-SA-04 – Validačná správa – aplikácia SOP Archív</dc:title>
  <dc:creator/>
  <cp:lastModifiedBy/>
  <dcterms:created xsi:type="dcterms:W3CDTF">2026-10-07T06:49:52Z</dcterms:created>
  <dcterms:modified xsi:type="dcterms:W3CDTF">2026-10-07T06:49:52Z</dcterms:modified>
</cp:coreProperties>
</file>