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(jeigu Tiekėjas, Tiekėjų grupės narys, Subtiekėjas, Ūkio subjektas, kurio pajėgumais remiamasi, ar Kvazisubtiekėjas yra fizinis asmuo – nuolat gyvenantis ar turintis pilietybę</w:t>
      </w:r>
      <w:r w:rsidR="00B17D72" w:rsidRPr="00AB7A4C">
        <w:rPr>
          <w:rFonts w:ascii="Arial" w:hAnsi="Arial" w:cs="Arial"/>
        </w:rPr>
        <w:t/>
      </w:r>
      <w:r w:rsidRPr="00AB7A4C">
        <w:rPr>
          <w:rFonts w:ascii="Arial" w:hAnsi="Arial" w:cs="Arial"/>
        </w:rPr>
        <w:t>)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dienoms</w:t>
      </w:r>
      <w:r w:rsidR="0022372F" w:rsidRPr="00AB7A4C">
        <w:rPr>
          <w:rFonts w:ascii="Arial" w:hAnsi="Arial" w:cs="Arial"/>
        </w:rPr>
        <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6</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6</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į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CVP IS </w:t>
      </w:r>
      <w:r w:rsidR="004D77CA" w:rsidRPr="00AB7A4C">
        <w:rPr>
          <w:rFonts w:ascii="Arial" w:hAnsi="Arial" w:cs="Arial"/>
        </w:rPr>
        <w:t xml:space="preserve">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rPr>
      </w:pPr>
      <w:r w:rsidRPr="00AB7A4C">
        <w:rPr>
          <w:rFonts w:ascii="Arial" w:eastAsia="Arial" w:hAnsi="Arial" w:cs="Arial"/>
        </w:rPr>
        <w:t>8.2.</w:t>
      </w:r>
      <w:r w:rsidRPr="00AB7A4C">
        <w:rPr>
          <w:rFonts w:ascii="Arial" w:eastAsia="Arial" w:hAnsi="Arial" w:cs="Arial"/>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rPr>
      </w:pPr>
      <w:r w:rsidRPr="00AB7A4C">
        <w:rPr>
          <w:rFonts w:ascii="Arial" w:eastAsia="Arial" w:hAnsi="Arial" w:cs="Arial"/>
        </w:rPr>
        <w:t>8.3.</w:t>
      </w:r>
      <w:r w:rsidRPr="00AB7A4C">
        <w:rPr>
          <w:rFonts w:ascii="Arial" w:eastAsia="Arial" w:hAnsi="Arial" w:cs="Arial"/>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rPr>
      </w:pPr>
      <w:r w:rsidRPr="00AB7A4C">
        <w:rPr>
          <w:rFonts w:ascii="Arial" w:eastAsia="Arial" w:hAnsi="Arial" w:cs="Arial"/>
        </w:rPr>
        <w:t>8.4.</w:t>
      </w:r>
      <w:r w:rsidRPr="00AB7A4C">
        <w:rPr>
          <w:rFonts w:ascii="Arial" w:eastAsia="Arial" w:hAnsi="Arial" w:cs="Arial"/>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rPr>
      </w:pPr>
      <w:r w:rsidRPr="00AB7A4C">
        <w:rPr>
          <w:rFonts w:ascii="Arial" w:eastAsia="Arial" w:hAnsi="Arial" w:cs="Arial"/>
        </w:rPr>
        <w:t>8.5.</w:t>
      </w:r>
      <w:r w:rsidRPr="00AB7A4C">
        <w:rPr>
          <w:rFonts w:ascii="Arial" w:eastAsia="Arial" w:hAnsi="Arial" w:cs="Arial"/>
        </w:rPr>
        <w:tab/>
        <w:t xml:space="preserve">Nepaisant </w:t>
      </w:r>
      <w:r w:rsidR="0037672B" w:rsidRPr="00AB7A4C">
        <w:rPr>
          <w:rFonts w:ascii="Arial" w:eastAsia="Arial" w:hAnsi="Arial" w:cs="Arial"/>
        </w:rPr>
        <w:t>8</w:t>
      </w:r>
      <w:r w:rsidRPr="00AB7A4C">
        <w:rPr>
          <w:rFonts w:ascii="Arial" w:eastAsia="Arial" w:hAnsi="Arial" w:cs="Arial"/>
        </w:rPr>
        <w:t xml:space="preserve">.2. ir </w:t>
      </w:r>
      <w:r w:rsidR="0037672B" w:rsidRPr="00AB7A4C">
        <w:rPr>
          <w:rFonts w:ascii="Arial" w:eastAsia="Arial" w:hAnsi="Arial" w:cs="Arial"/>
        </w:rPr>
        <w:t>8</w:t>
      </w:r>
      <w:r w:rsidRPr="00AB7A4C">
        <w:rPr>
          <w:rFonts w:ascii="Arial" w:eastAsia="Arial" w:hAnsi="Arial" w:cs="Arial"/>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rPr>
        <w:t>8</w:t>
      </w:r>
      <w:r w:rsidRPr="00AB7A4C">
        <w:rPr>
          <w:rFonts w:ascii="Arial" w:eastAsia="Arial" w:hAnsi="Arial" w:cs="Arial"/>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reikalaujami aplinkos apsaugos vadybos sistemų standartai“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6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6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5</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6.</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6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