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Preliminary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form of Annex 6 to the SPC.</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the original of the Procurement Contract security and a copy of the designer’s compulsory civil liability insurance certificate (policy) specified in the Procurement documents</w:t>
            </w:r>
            <w:r w:rsidR="00874205" w:rsidRPr="00584CCD">
              <w:rPr>
                <w:rFonts w:ascii="Arial" w:hAnsi="Arial" w:cs="Arial"/>
                <w:color w:val="FF0000"/>
                <w:sz w:val="20"/>
                <w:szCs w:val="20"/>
                <w:lang w:val="en-GB"/>
              </w:rPr>
              <w:t/>
            </w:r>
            <w:r w:rsidRPr="00584CCD">
              <w:rPr>
                <w:rFonts w:ascii="Arial" w:hAnsi="Arial" w:cs="Arial"/>
                <w:color w:val="FF0000"/>
                <w:sz w:val="20"/>
                <w:szCs w:val="20"/>
                <w:lang w:val="en-GB"/>
              </w:rPr>
              <w:t xml:space="preserve"/>
            </w:r>
            <w:r w:rsidR="00874205" w:rsidRPr="00584CCD">
              <w:rPr>
                <w:rFonts w:ascii="Arial" w:hAnsi="Arial" w:cs="Arial"/>
                <w:color w:val="FF0000"/>
                <w:sz w:val="20"/>
                <w:szCs w:val="20"/>
                <w:lang w:val="en-GB"/>
              </w:rPr>
              <w:t/>
            </w:r>
            <w:r w:rsidRPr="00584CCD">
              <w:rPr>
                <w:rFonts w:ascii="Arial" w:hAnsi="Arial" w:cs="Arial"/>
                <w:color w:val="FF0000"/>
                <w:sz w:val="20"/>
                <w:szCs w:val="20"/>
                <w:lang w:val="en-GB"/>
              </w:rPr>
              <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