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Preliminary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Pirminiu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Pirminių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Pirminių </w:t>
            </w:r>
            <w:r w:rsidRPr="00584CCD">
              <w:rPr>
                <w:rFonts w:ascii="Arial" w:hAnsi="Arial" w:cs="Arial"/>
                <w:sz w:val="20"/>
                <w:szCs w:val="20"/>
              </w:rPr>
              <w:t>pasiūlymų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Tenders and must specify the term of validity of the guarantee. If the Final Tender is requested, the bank guarantee must remain valid for the same number of days after the deadline for submission of Final Tenders; if necessary, the Supplier shall extend it and submit the extension together with the Final Tender.</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xml:space="preserve"/>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