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Linti</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(Tiekėjas, Tiekėjų grupės narys, Subtiekėjas, Ūkio subjektas, kurio pajėgumais remiamasi, Kvazisubtiekėjas, kuris yra fizinis </w:t>
            </w:r>
            <w:r w:rsidRPr="0065617B">
              <w:rPr>
                <w:rFonts w:ascii="Arial" w:hAnsi="Arial" w:cs="Arial"/>
                <w:iCs/>
              </w:rPr>
              <w:lastRenderedPageBreak/>
              <w:t>asmuo – nuolat gyvenantis ar turintys pilietybę)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11.</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 </w:t>
            </w:r>
            <w:r w:rsidRPr="0065617B">
              <w:rPr>
                <w:rFonts w:ascii="Arial" w:hAnsi="Arial" w:cs="Arial"/>
                <w:b/>
                <w:bCs/>
                <w:u w:val="single"/>
              </w:rPr>
              <w:t>arba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nustatytų reikalavimų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(Tiekėjas, Subtiekėjas, Tiekėjų grupės narys, Ūkio subjektas, kurio pajėgumais remiamasi, Kvazisubtiekėjas, kuris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Vyriausybei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Authority of the names of the subcontractors known at that time, their contact details, and representatives. The Contracting Authority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does not submit the documents substantiating the absence of exclusion grounds and/</w:t>
            </w:r>
            <w:r w:rsidR="00856D73">
              <w:rPr>
                <w:rFonts w:ascii="Arial" w:hAnsi="Arial" w:cs="Arial"/>
                <w:color w:val="FF0000"/>
                <w:lang w:val="en-GB"/>
              </w:rPr>
              <w:t xml:space="preserve"> </w:t>
            </w:r>
            <w:r w:rsidRPr="006C6662">
              <w:rPr>
                <w:rFonts w:ascii="Arial" w:hAnsi="Arial" w:cs="Arial"/>
                <w:color w:val="FF0000"/>
                <w:lang w:val="en-GB"/>
              </w:rPr>
              <w:t>o</w:t>
            </w:r>
            <w:r w:rsidR="00856D73">
              <w:rPr>
                <w:rFonts w:ascii="Arial" w:hAnsi="Arial" w:cs="Arial"/>
                <w:color w:val="FF0000"/>
                <w:lang w:val="en-GB"/>
              </w:rPr>
              <w:t xml:space="preserve"> </w:t>
            </w:r>
            <w:r w:rsidRPr="006C6662">
              <w:rPr>
                <w:rFonts w:ascii="Arial" w:hAnsi="Arial" w:cs="Arial"/>
                <w:color w:val="FF0000"/>
                <w:lang w:val="en-GB"/>
              </w:rPr>
              <w:t>r qualification, and</w:t>
            </w:r>
            <w:r w:rsidR="00856D73">
              <w:rPr>
                <w:rFonts w:ascii="Arial" w:hAnsi="Arial" w:cs="Arial"/>
                <w:color w:val="FF0000"/>
                <w:lang w:val="en-GB"/>
              </w:rPr>
              <w:t xml:space="preserve"> </w:t>
            </w:r>
            <w:r w:rsidRPr="006C6662">
              <w:rPr>
                <w:rFonts w:ascii="Arial" w:hAnsi="Arial" w:cs="Arial"/>
                <w:color w:val="FF0000"/>
                <w:lang w:val="en-GB"/>
              </w:rPr>
              <w:t>/</w:t>
            </w:r>
            <w:r w:rsidR="00856D73">
              <w:rPr>
                <w:rFonts w:ascii="Arial" w:hAnsi="Arial" w:cs="Arial"/>
                <w:color w:val="FF0000"/>
                <w:lang w:val="en-GB"/>
              </w:rPr>
              <w:t xml:space="preserve"> </w:t>
            </w:r>
            <w:r w:rsidRPr="006C6662">
              <w:rPr>
                <w:rFonts w:ascii="Arial" w:hAnsi="Arial" w:cs="Arial"/>
                <w:color w:val="FF0000"/>
                <w:lang w:val="en-GB"/>
              </w:rPr>
              <w:t xml:space="preserve">or other requirements, the original of Contract performance guarantee, a copy of the designer's compulsory civil liability insurance certificate (policy) and the list of managers,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ANEXXES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7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