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jeigu tiekėjas, tiekėjų grupės narys, Subtiekėjas, Ūkio subjektas, kurio pajėgumais remiamasi, ar Kvazisubtiekėjas yra fizinis asmuo – nuolat gyvenantis ar turintis pilietybę</w:t>
            </w:r>
            <w:r w:rsidRPr="00BF0152">
              <w:rPr>
                <w:rFonts w:ascii="Arial" w:hAnsi="Arial" w:cs="Arial"/>
                <w:sz w:val="20"/>
                <w:szCs w:val="20"/>
              </w:rPr>
              <w:t xml:space="preserve"/>
            </w:r>
            <w:r w:rsidR="0019556C">
              <w:rPr>
                <w:rFonts w:ascii="Arial" w:hAnsi="Arial" w:cs="Arial"/>
                <w:sz w:val="20"/>
                <w:szCs w:val="20"/>
              </w:rPr>
              <w:t/>
            </w:r>
            <w:r w:rsidRPr="00BF0152">
              <w:rPr>
                <w:rFonts w:ascii="Arial" w:hAnsi="Arial" w:cs="Arial"/>
                <w:sz w:val="20"/>
                <w:szCs w:val="20"/>
              </w:rPr>
              <w:t xml:space="preserve"/>
            </w:r>
            <w:r w:rsidRPr="00BF0152">
              <w:rPr>
                <w:rFonts w:ascii="Arial" w:hAnsi="Arial" w:cs="Arial"/>
                <w:sz w:val="20"/>
                <w:szCs w:val="20"/>
              </w:rPr>
              <w:lastRenderedPageBreak/>
              <w:t>)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dienoms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į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CVP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w:t>
            </w:r>
            <w:r>
              <w:rPr>
                <w:rFonts w:ascii="Arial" w:hAnsi="Arial" w:cs="Arial"/>
                <w:color w:val="FF0000"/>
                <w:sz w:val="20"/>
                <w:szCs w:val="20"/>
                <w:lang w:val="en-US"/>
              </w:rPr>
              <w:t xml:space="preserve">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