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 on</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on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on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 on;</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 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 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on,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t>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9483D">
              <w:rPr>
                <w:rFonts w:ascii="Arial" w:hAnsi="Arial" w:cs="Arial"/>
                <w:sz w:val="20"/>
                <w:szCs w:val="20"/>
              </w:rPr>
              <w:t>Kvazisubtiekėjas</w:t>
            </w:r>
            <w:proofErr w:type="spellEnd"/>
            <w:r w:rsidRPr="00C9483D">
              <w:rPr>
                <w:rFonts w:ascii="Arial" w:hAnsi="Arial" w:cs="Arial"/>
                <w:sz w:val="20"/>
                <w:szCs w:val="20"/>
              </w:rPr>
              <w:t>, kuris yra fizinis asmuo – nuolat gyvenantis</w:t>
            </w:r>
            <w:r w:rsidR="00983A43" w:rsidRPr="00C9483D">
              <w:rPr>
                <w:rFonts w:ascii="Arial" w:hAnsi="Arial" w:cs="Arial"/>
                <w:sz w:val="20"/>
                <w:szCs w:val="20"/>
              </w:rPr>
              <w:t xml:space="preserve"> ar turintis pilietybę</w:t>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t>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ofr</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 .</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