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on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 on;</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 on</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entities the Supplier relies on, and/or the quasi sub-suppliers; such declaration must be certified by a competent legal or administrative authority, a notary or a competent professional or a commercial organisation of  the  country of origin of the Supplier (economic entity on whose capacity the Supplier relies on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on,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t>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4A1185">
              <w:rPr>
                <w:rFonts w:ascii="Arial" w:hAnsi="Arial" w:cs="Arial"/>
                <w:sz w:val="20"/>
                <w:szCs w:val="20"/>
              </w:rPr>
              <w:t>Kvazisubtiekėjas</w:t>
            </w:r>
            <w:proofErr w:type="spellEnd"/>
            <w:r w:rsidRPr="004A1185">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on,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