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(a</w:t>
      </w:r>
      <w:r w:rsidR="00884729" w:rsidRPr="008F417C">
        <w:rPr>
          <w:rFonts w:ascii="Arial" w:hAnsi="Arial" w:cs="Arial"/>
          <w:b/>
          <w:bCs/>
          <w:u w:val="single"/>
        </w:rPr>
        <w:t>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elektroninėmis priemonėmis; </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