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Calibri"/>
          <w:b/>
          <w:i w:val="0"/>
          <w:color w:val="1F3864"/>
          <w:sz w:val="52"/>
        </w:rPr>
        <w:t>Production ML Systems</w:t>
      </w:r>
    </w:p>
    <w:p>
      <w:pPr>
        <w:spacing w:after="40"/>
        <w:jc w:val="center"/>
      </w:pPr>
      <w:r>
        <w:rPr>
          <w:rFonts w:ascii="Calibri" w:hAnsi="Calibri" w:cs="Calibri" w:eastAsia="Calibri"/>
          <w:b w:val="0"/>
          <w:i/>
          <w:color w:val="595959"/>
          <w:sz w:val="28"/>
        </w:rPr>
        <w:t>Roles, Artefacts, and Lifecycle in a Modern Data Team</w:t>
      </w:r>
    </w:p>
    <w:p>
      <w:pPr>
        <w:spacing w:after="400"/>
        <w:jc w:val="center"/>
      </w:pPr>
      <w:r>
        <w:rPr>
          <w:rFonts w:ascii="Calibri" w:hAnsi="Calibri" w:cs="Calibri" w:eastAsia="Calibri"/>
          <w:b w:val="0"/>
          <w:i w:val="0"/>
          <w:color w:val="595959"/>
          <w:sz w:val="20"/>
        </w:rPr>
        <w:t>Reference Document</w:t>
      </w:r>
    </w:p>
    <w:p>
      <w:pPr>
        <w:spacing w:before="0" w:after="80"/>
      </w:pPr>
      <w:r>
        <w:rPr>
          <w:rFonts w:ascii="Calibri" w:hAnsi="Calibri" w:cs="Calibri" w:eastAsia="Calibri"/>
          <w:b w:val="0"/>
          <w:i w:val="0"/>
          <w:sz w:val="22"/>
        </w:rPr>
        <w:t>This document captures the structural mental model of how production machine-learning systems are built and operated at well-run data organisations. It is intended as a reference for engineers transitioning from research-grade ML work into production engineering, and for interview preparation in roles such as Machine Learning Engineer, Senior Data Scientist (deployment-capable), and Data Platform Engineer.</w:t>
      </w:r>
    </w:p>
    <w:p>
      <w:pPr>
        <w:spacing w:before="0" w:after="160"/>
      </w:pPr>
      <w:r>
        <w:rPr>
          <w:rFonts w:ascii="Calibri" w:hAnsi="Calibri" w:cs="Calibri" w:eastAsia="Calibri"/>
          <w:b w:val="0"/>
          <w:i w:val="0"/>
          <w:sz w:val="22"/>
        </w:rPr>
        <w:t>The framing is vendor-neutral but maps cleanly onto Databricks, Snowflake, AWS, and GCP environments. The terminology used here is the current industry vocabulary as of 2026.</w:t>
      </w:r>
    </w:p>
    <w:p>
      <w:pPr>
        <w:spacing w:before="360" w:after="120"/>
        <w:pBdr>
          <w:bottom w:val="single" w:sz="8" w:space="1" w:color="1F3864"/>
        </w:pBdr>
      </w:pPr>
      <w:r>
        <w:rPr>
          <w:rFonts w:ascii="Calibri" w:hAnsi="Calibri" w:cs="Calibri" w:eastAsia="Calibri"/>
          <w:b/>
          <w:i w:val="0"/>
          <w:color w:val="1F3864"/>
          <w:sz w:val="32"/>
        </w:rPr>
        <w:t>1.  The Players: Roles in a Production Data Team</w:t>
      </w:r>
    </w:p>
    <w:p>
      <w:pPr>
        <w:spacing w:before="0" w:after="80"/>
      </w:pPr>
      <w:r>
        <w:rPr>
          <w:rFonts w:ascii="Calibri" w:hAnsi="Calibri" w:cs="Calibri" w:eastAsia="Calibri"/>
          <w:b w:val="0"/>
          <w:i w:val="0"/>
          <w:sz w:val="22"/>
        </w:rPr>
        <w:t>A modern enterprise data team typically separates work across at least five distinct roles. Smaller organisations consolidate these into one or two people; larger ones (Amgen, Amazon, Capital One, etc.) maintain them as separate teams.</w:t>
      </w:r>
    </w:p>
    <w:tbl>
      <w:tblPr>
        <w:tblStyle w:val="LightGrid-Accent1"/>
        <w:tblW w:type="auto" w:w="0"/>
        <w:tblLook w:firstColumn="1" w:firstRow="1" w:lastColumn="0" w:lastRow="0" w:noHBand="0" w:noVBand="1" w:val="04A0"/>
      </w:tblPr>
      <w:tblGrid>
        <w:gridCol w:w="3312"/>
        <w:gridCol w:w="3312"/>
        <w:gridCol w:w="3312"/>
      </w:tblGrid>
      <w:tr>
        <w:tc>
          <w:tcPr>
            <w:tcW w:type="dxa" w:w="2016"/>
            <w:shd w:val="clear" w:color="auto" w:fill="1F3864"/>
            <w:vAlign w:val="center"/>
          </w:tcPr>
          <w:p>
            <w:pPr>
              <w:jc w:val="left"/>
            </w:pPr>
            <w:r/>
            <w:r>
              <w:rPr>
                <w:rFonts w:ascii="Calibri" w:hAnsi="Calibri" w:cs="Calibri" w:eastAsia="Calibri"/>
                <w:b/>
                <w:i w:val="0"/>
                <w:color w:val="FFFFFF"/>
                <w:sz w:val="22"/>
              </w:rPr>
              <w:t>Role</w:t>
            </w:r>
          </w:p>
        </w:tc>
        <w:tc>
          <w:tcPr>
            <w:tcW w:type="dxa" w:w="4608"/>
            <w:shd w:val="clear" w:color="auto" w:fill="1F3864"/>
            <w:vAlign w:val="center"/>
          </w:tcPr>
          <w:p>
            <w:pPr>
              <w:jc w:val="left"/>
            </w:pPr>
            <w:r/>
            <w:r>
              <w:rPr>
                <w:rFonts w:ascii="Calibri" w:hAnsi="Calibri" w:cs="Calibri" w:eastAsia="Calibri"/>
                <w:b/>
                <w:i w:val="0"/>
                <w:color w:val="FFFFFF"/>
                <w:sz w:val="22"/>
              </w:rPr>
              <w:t>Primary Responsibility</w:t>
            </w:r>
          </w:p>
        </w:tc>
        <w:tc>
          <w:tcPr>
            <w:tcW w:type="dxa" w:w="3744"/>
            <w:shd w:val="clear" w:color="auto" w:fill="1F3864"/>
            <w:vAlign w:val="center"/>
          </w:tcPr>
          <w:p>
            <w:pPr>
              <w:jc w:val="left"/>
            </w:pPr>
            <w:r/>
            <w:r>
              <w:rPr>
                <w:rFonts w:ascii="Calibri" w:hAnsi="Calibri" w:cs="Calibri" w:eastAsia="Calibri"/>
                <w:b/>
                <w:i w:val="0"/>
                <w:color w:val="FFFFFF"/>
                <w:sz w:val="22"/>
              </w:rPr>
              <w:t>Outputs</w:t>
            </w:r>
          </w:p>
        </w:tc>
      </w:tr>
      <w:tr>
        <w:tc>
          <w:tcPr>
            <w:tcW w:type="dxa" w:w="2016"/>
            <w:vAlign w:val="top"/>
          </w:tcPr>
          <w:p>
            <w:r/>
            <w:r>
              <w:rPr>
                <w:rFonts w:ascii="Calibri" w:hAnsi="Calibri" w:cs="Calibri" w:eastAsia="Calibri"/>
                <w:b w:val="0"/>
                <w:i w:val="0"/>
                <w:sz w:val="21"/>
              </w:rPr>
              <w:t>Data Architect</w:t>
            </w:r>
          </w:p>
        </w:tc>
        <w:tc>
          <w:tcPr>
            <w:tcW w:type="dxa" w:w="4608"/>
            <w:vAlign w:val="top"/>
          </w:tcPr>
          <w:p>
            <w:r/>
            <w:r>
              <w:rPr>
                <w:rFonts w:ascii="Calibri" w:hAnsi="Calibri" w:cs="Calibri" w:eastAsia="Calibri"/>
                <w:b w:val="0"/>
                <w:i w:val="0"/>
                <w:sz w:val="21"/>
              </w:rPr>
              <w:t>Designs the data platform blueprint: lakehouse vs warehouse, vendor selection, schema and contract patterns, security model.</w:t>
            </w:r>
          </w:p>
        </w:tc>
        <w:tc>
          <w:tcPr>
            <w:tcW w:type="dxa" w:w="3744"/>
            <w:vAlign w:val="top"/>
          </w:tcPr>
          <w:p>
            <w:r/>
            <w:r>
              <w:rPr>
                <w:rFonts w:ascii="Calibri" w:hAnsi="Calibri" w:cs="Calibri" w:eastAsia="Calibri"/>
                <w:b w:val="0"/>
                <w:i w:val="0"/>
                <w:sz w:val="21"/>
              </w:rPr>
              <w:t>Design documents, architectural review decisions, technology roadmaps.</w:t>
            </w:r>
          </w:p>
        </w:tc>
      </w:tr>
      <w:tr>
        <w:tc>
          <w:tcPr>
            <w:tcW w:type="dxa" w:w="2016"/>
            <w:vAlign w:val="top"/>
          </w:tcPr>
          <w:p>
            <w:r/>
            <w:r>
              <w:rPr>
                <w:rFonts w:ascii="Calibri" w:hAnsi="Calibri" w:cs="Calibri" w:eastAsia="Calibri"/>
                <w:b w:val="0"/>
                <w:i w:val="0"/>
                <w:sz w:val="21"/>
              </w:rPr>
              <w:t>Data Engineer</w:t>
            </w:r>
          </w:p>
        </w:tc>
        <w:tc>
          <w:tcPr>
            <w:tcW w:type="dxa" w:w="4608"/>
            <w:vAlign w:val="top"/>
          </w:tcPr>
          <w:p>
            <w:r/>
            <w:r>
              <w:rPr>
                <w:rFonts w:ascii="Calibri" w:hAnsi="Calibri" w:cs="Calibri" w:eastAsia="Calibri"/>
                <w:b w:val="0"/>
                <w:i w:val="0"/>
                <w:sz w:val="21"/>
              </w:rPr>
              <w:t>Builds and maintains the data pipelines from source systems into the warehouse layers. Owns ingestion, transformation, schema enforcement, and the gold-layer interface.</w:t>
            </w:r>
          </w:p>
        </w:tc>
        <w:tc>
          <w:tcPr>
            <w:tcW w:type="dxa" w:w="3744"/>
            <w:vAlign w:val="top"/>
          </w:tcPr>
          <w:p>
            <w:r/>
            <w:r>
              <w:rPr>
                <w:rFonts w:ascii="Calibri" w:hAnsi="Calibri" w:cs="Calibri" w:eastAsia="Calibri"/>
                <w:b w:val="0"/>
                <w:i w:val="0"/>
                <w:sz w:val="21"/>
              </w:rPr>
              <w:t>ETL/ELT pipelines, dbt models, data contracts, orchestration DAGs (Airflow, Dagster, Databricks Workflows).</w:t>
            </w:r>
          </w:p>
        </w:tc>
      </w:tr>
      <w:tr>
        <w:tc>
          <w:tcPr>
            <w:tcW w:type="dxa" w:w="2016"/>
            <w:vAlign w:val="top"/>
          </w:tcPr>
          <w:p>
            <w:r/>
            <w:r>
              <w:rPr>
                <w:rFonts w:ascii="Calibri" w:hAnsi="Calibri" w:cs="Calibri" w:eastAsia="Calibri"/>
                <w:b w:val="0"/>
                <w:i w:val="0"/>
                <w:sz w:val="21"/>
              </w:rPr>
              <w:t>ML Engineer</w:t>
            </w:r>
          </w:p>
        </w:tc>
        <w:tc>
          <w:tcPr>
            <w:tcW w:type="dxa" w:w="4608"/>
            <w:vAlign w:val="top"/>
          </w:tcPr>
          <w:p>
            <w:r/>
            <w:r>
              <w:rPr>
                <w:rFonts w:ascii="Calibri" w:hAnsi="Calibri" w:cs="Calibri" w:eastAsia="Calibri"/>
                <w:b w:val="0"/>
                <w:i w:val="0"/>
                <w:sz w:val="21"/>
              </w:rPr>
              <w:t>Bridges data science and production. Builds the training pipeline, model registry, serving infrastructure, monitoring, and CI/CD that turns research notebooks into shipped systems.</w:t>
            </w:r>
          </w:p>
        </w:tc>
        <w:tc>
          <w:tcPr>
            <w:tcW w:type="dxa" w:w="3744"/>
            <w:vAlign w:val="top"/>
          </w:tcPr>
          <w:p>
            <w:r/>
            <w:r>
              <w:rPr>
                <w:rFonts w:ascii="Calibri" w:hAnsi="Calibri" w:cs="Calibri" w:eastAsia="Calibri"/>
                <w:b w:val="0"/>
                <w:i w:val="0"/>
                <w:sz w:val="21"/>
              </w:rPr>
              <w:t>Containerised training jobs, MLflow tracking, FastAPI scoring services, Kubernetes manifests, drift dashboards.</w:t>
            </w:r>
          </w:p>
        </w:tc>
      </w:tr>
      <w:tr>
        <w:tc>
          <w:tcPr>
            <w:tcW w:type="dxa" w:w="2016"/>
            <w:vAlign w:val="top"/>
          </w:tcPr>
          <w:p>
            <w:r/>
            <w:r>
              <w:rPr>
                <w:rFonts w:ascii="Calibri" w:hAnsi="Calibri" w:cs="Calibri" w:eastAsia="Calibri"/>
                <w:b w:val="0"/>
                <w:i w:val="0"/>
                <w:sz w:val="21"/>
              </w:rPr>
              <w:t>Data Scientist</w:t>
            </w:r>
          </w:p>
        </w:tc>
        <w:tc>
          <w:tcPr>
            <w:tcW w:type="dxa" w:w="4608"/>
            <w:vAlign w:val="top"/>
          </w:tcPr>
          <w:p>
            <w:r/>
            <w:r>
              <w:rPr>
                <w:rFonts w:ascii="Calibri" w:hAnsi="Calibri" w:cs="Calibri" w:eastAsia="Calibri"/>
                <w:b w:val="0"/>
                <w:i w:val="0"/>
                <w:sz w:val="21"/>
              </w:rPr>
              <w:t>Develops the predictive models. Consumes the gold layer, iterates on features, validates model performance, hands off production-ready code.</w:t>
            </w:r>
          </w:p>
        </w:tc>
        <w:tc>
          <w:tcPr>
            <w:tcW w:type="dxa" w:w="3744"/>
            <w:vAlign w:val="top"/>
          </w:tcPr>
          <w:p>
            <w:r/>
            <w:r>
              <w:rPr>
                <w:rFonts w:ascii="Calibri" w:hAnsi="Calibri" w:cs="Calibri" w:eastAsia="Calibri"/>
                <w:b w:val="0"/>
                <w:i w:val="0"/>
                <w:sz w:val="21"/>
              </w:rPr>
              <w:t>Notebooks, refactored Python modules, model evaluations, feature engineering proposals.</w:t>
            </w:r>
          </w:p>
        </w:tc>
      </w:tr>
      <w:tr>
        <w:tc>
          <w:tcPr>
            <w:tcW w:type="dxa" w:w="2016"/>
            <w:vAlign w:val="top"/>
          </w:tcPr>
          <w:p>
            <w:r/>
            <w:r>
              <w:rPr>
                <w:rFonts w:ascii="Calibri" w:hAnsi="Calibri" w:cs="Calibri" w:eastAsia="Calibri"/>
                <w:b w:val="0"/>
                <w:i w:val="0"/>
                <w:sz w:val="21"/>
              </w:rPr>
              <w:t>Data Analyst</w:t>
            </w:r>
          </w:p>
        </w:tc>
        <w:tc>
          <w:tcPr>
            <w:tcW w:type="dxa" w:w="4608"/>
            <w:vAlign w:val="top"/>
          </w:tcPr>
          <w:p>
            <w:r/>
            <w:r>
              <w:rPr>
                <w:rFonts w:ascii="Calibri" w:hAnsi="Calibri" w:cs="Calibri" w:eastAsia="Calibri"/>
                <w:b w:val="0"/>
                <w:i w:val="0"/>
                <w:sz w:val="21"/>
              </w:rPr>
              <w:t>Answers business questions using the gold layer. SQL-first, produces dashboards and reports.</w:t>
            </w:r>
          </w:p>
        </w:tc>
        <w:tc>
          <w:tcPr>
            <w:tcW w:type="dxa" w:w="3744"/>
            <w:vAlign w:val="top"/>
          </w:tcPr>
          <w:p>
            <w:r/>
            <w:r>
              <w:rPr>
                <w:rFonts w:ascii="Calibri" w:hAnsi="Calibri" w:cs="Calibri" w:eastAsia="Calibri"/>
                <w:b w:val="0"/>
                <w:i w:val="0"/>
                <w:sz w:val="21"/>
              </w:rPr>
              <w:t>Tableau / Looker / Power BI dashboards, ad-hoc queries, monthly reporting.</w:t>
            </w:r>
          </w:p>
        </w:tc>
      </w:tr>
    </w:tbl>
    <w:p>
      <w:pPr>
        <w:spacing w:before="120" w:after="80"/>
      </w:pPr>
      <w:r>
        <w:rPr>
          <w:rFonts w:ascii="Calibri" w:hAnsi="Calibri" w:cs="Calibri" w:eastAsia="Calibri"/>
          <w:b w:val="0"/>
          <w:i w:val="0"/>
          <w:sz w:val="22"/>
        </w:rPr>
        <w:t>The ML Engineer is the role to know. It emerged from organisations where data scientists kept producing models that data engineers could not deploy, and data engineers built infrastructure that data scientists could not use. The ML Engineer is the connective tissue.</w:t>
      </w:r>
    </w:p>
    <w:p>
      <w:pPr>
        <w:spacing w:before="360" w:after="120"/>
        <w:pBdr>
          <w:bottom w:val="single" w:sz="8" w:space="1" w:color="1F3864"/>
        </w:pBdr>
      </w:pPr>
      <w:r>
        <w:rPr>
          <w:rFonts w:ascii="Calibri" w:hAnsi="Calibri" w:cs="Calibri" w:eastAsia="Calibri"/>
          <w:b/>
          <w:i w:val="0"/>
          <w:color w:val="1F3864"/>
          <w:sz w:val="32"/>
        </w:rPr>
        <w:t>2.  The Three Artefact Stores</w:t>
      </w:r>
    </w:p>
    <w:p>
      <w:pPr>
        <w:spacing w:before="0" w:after="80"/>
      </w:pPr>
      <w:r>
        <w:rPr>
          <w:rFonts w:ascii="Calibri" w:hAnsi="Calibri" w:cs="Calibri" w:eastAsia="Calibri"/>
          <w:b w:val="0"/>
          <w:i w:val="0"/>
          <w:sz w:val="22"/>
        </w:rPr>
        <w:t>A production ML system holds three distinct kinds of artefacts in three distinct stores. Confusing them is the most common mental-model error for engineers new to MLOps.</w:t>
      </w:r>
    </w:p>
    <w:tbl>
      <w:tblPr>
        <w:tblStyle w:val="LightGrid-Accent1"/>
        <w:tblW w:type="auto" w:w="0"/>
        <w:tblLook w:firstColumn="1" w:firstRow="1" w:lastColumn="0" w:lastRow="0" w:noHBand="0" w:noVBand="1" w:val="04A0"/>
      </w:tblPr>
      <w:tblGrid>
        <w:gridCol w:w="3312"/>
        <w:gridCol w:w="3312"/>
        <w:gridCol w:w="3312"/>
      </w:tblGrid>
      <w:tr>
        <w:tc>
          <w:tcPr>
            <w:tcW w:type="dxa" w:w="2304"/>
            <w:shd w:val="clear" w:color="auto" w:fill="1F3864"/>
            <w:vAlign w:val="center"/>
          </w:tcPr>
          <w:p>
            <w:pPr>
              <w:jc w:val="left"/>
            </w:pPr>
            <w:r/>
            <w:r>
              <w:rPr>
                <w:rFonts w:ascii="Calibri" w:hAnsi="Calibri" w:cs="Calibri" w:eastAsia="Calibri"/>
                <w:b/>
                <w:i w:val="0"/>
                <w:color w:val="FFFFFF"/>
                <w:sz w:val="22"/>
              </w:rPr>
              <w:t>Store</w:t>
            </w:r>
          </w:p>
        </w:tc>
        <w:tc>
          <w:tcPr>
            <w:tcW w:type="dxa" w:w="4320"/>
            <w:shd w:val="clear" w:color="auto" w:fill="1F3864"/>
            <w:vAlign w:val="center"/>
          </w:tcPr>
          <w:p>
            <w:pPr>
              <w:jc w:val="left"/>
            </w:pPr>
            <w:r/>
            <w:r>
              <w:rPr>
                <w:rFonts w:ascii="Calibri" w:hAnsi="Calibri" w:cs="Calibri" w:eastAsia="Calibri"/>
                <w:b/>
                <w:i w:val="0"/>
                <w:color w:val="FFFFFF"/>
                <w:sz w:val="22"/>
              </w:rPr>
              <w:t>Holds</w:t>
            </w:r>
          </w:p>
        </w:tc>
        <w:tc>
          <w:tcPr>
            <w:tcW w:type="dxa" w:w="3744"/>
            <w:shd w:val="clear" w:color="auto" w:fill="1F3864"/>
            <w:vAlign w:val="center"/>
          </w:tcPr>
          <w:p>
            <w:pPr>
              <w:jc w:val="left"/>
            </w:pPr>
            <w:r/>
            <w:r>
              <w:rPr>
                <w:rFonts w:ascii="Calibri" w:hAnsi="Calibri" w:cs="Calibri" w:eastAsia="Calibri"/>
                <w:b/>
                <w:i w:val="0"/>
                <w:color w:val="FFFFFF"/>
                <w:sz w:val="22"/>
              </w:rPr>
              <w:t>Examples</w:t>
            </w:r>
          </w:p>
        </w:tc>
      </w:tr>
      <w:tr>
        <w:tc>
          <w:tcPr>
            <w:tcW w:type="dxa" w:w="2304"/>
            <w:vAlign w:val="top"/>
          </w:tcPr>
          <w:p>
            <w:r/>
            <w:r>
              <w:rPr>
                <w:rFonts w:ascii="Calibri" w:hAnsi="Calibri" w:cs="Calibri" w:eastAsia="Calibri"/>
                <w:b w:val="0"/>
                <w:i w:val="0"/>
                <w:sz w:val="21"/>
              </w:rPr>
              <w:t>Git Repository</w:t>
            </w:r>
          </w:p>
        </w:tc>
        <w:tc>
          <w:tcPr>
            <w:tcW w:type="dxa" w:w="4320"/>
            <w:vAlign w:val="top"/>
          </w:tcPr>
          <w:p>
            <w:r/>
            <w:r>
              <w:rPr>
                <w:rFonts w:ascii="Calibri" w:hAnsi="Calibri" w:cs="Calibri" w:eastAsia="Calibri"/>
                <w:b w:val="0"/>
                <w:i w:val="0"/>
                <w:sz w:val="21"/>
              </w:rPr>
              <w:t>Source code: training pipeline, serving service, feature engineering, infrastructure-as-code, tests, configuration.</w:t>
            </w:r>
          </w:p>
        </w:tc>
        <w:tc>
          <w:tcPr>
            <w:tcW w:type="dxa" w:w="3744"/>
            <w:vAlign w:val="top"/>
          </w:tcPr>
          <w:p>
            <w:r/>
            <w:r>
              <w:rPr>
                <w:rFonts w:ascii="Calibri" w:hAnsi="Calibri" w:cs="Calibri" w:eastAsia="Calibri"/>
                <w:b w:val="0"/>
                <w:i w:val="0"/>
                <w:sz w:val="21"/>
              </w:rPr>
              <w:t>GitHub, GitLab, Bitbucket. Branches, commits, PRs.</w:t>
            </w:r>
          </w:p>
        </w:tc>
      </w:tr>
      <w:tr>
        <w:tc>
          <w:tcPr>
            <w:tcW w:type="dxa" w:w="2304"/>
            <w:vAlign w:val="top"/>
          </w:tcPr>
          <w:p>
            <w:r/>
            <w:r>
              <w:rPr>
                <w:rFonts w:ascii="Calibri" w:hAnsi="Calibri" w:cs="Calibri" w:eastAsia="Calibri"/>
                <w:b w:val="0"/>
                <w:i w:val="0"/>
                <w:sz w:val="21"/>
              </w:rPr>
              <w:t>Docker Image Registry</w:t>
            </w:r>
          </w:p>
        </w:tc>
        <w:tc>
          <w:tcPr>
            <w:tcW w:type="dxa" w:w="4320"/>
            <w:vAlign w:val="top"/>
          </w:tcPr>
          <w:p>
            <w:r/>
            <w:r>
              <w:rPr>
                <w:rFonts w:ascii="Calibri" w:hAnsi="Calibri" w:cs="Calibri" w:eastAsia="Calibri"/>
                <w:b w:val="0"/>
                <w:i w:val="0"/>
                <w:sz w:val="21"/>
              </w:rPr>
              <w:t>Compiled container images: a snapshot of code + dependencies + OS layer, ready to run anywhere.</w:t>
            </w:r>
          </w:p>
        </w:tc>
        <w:tc>
          <w:tcPr>
            <w:tcW w:type="dxa" w:w="3744"/>
            <w:vAlign w:val="top"/>
          </w:tcPr>
          <w:p>
            <w:r/>
            <w:r>
              <w:rPr>
                <w:rFonts w:ascii="Calibri" w:hAnsi="Calibri" w:cs="Calibri" w:eastAsia="Calibri"/>
                <w:b w:val="0"/>
                <w:i w:val="0"/>
                <w:sz w:val="21"/>
              </w:rPr>
              <w:t>Docker Hub, AWS ECR, Google Container Registry, GitHub Container Registry.</w:t>
            </w:r>
          </w:p>
        </w:tc>
      </w:tr>
      <w:tr>
        <w:tc>
          <w:tcPr>
            <w:tcW w:type="dxa" w:w="2304"/>
            <w:vAlign w:val="top"/>
          </w:tcPr>
          <w:p>
            <w:r/>
            <w:r>
              <w:rPr>
                <w:rFonts w:ascii="Calibri" w:hAnsi="Calibri" w:cs="Calibri" w:eastAsia="Calibri"/>
                <w:b w:val="0"/>
                <w:i w:val="0"/>
                <w:sz w:val="21"/>
              </w:rPr>
              <w:t>Model Registry</w:t>
            </w:r>
          </w:p>
        </w:tc>
        <w:tc>
          <w:tcPr>
            <w:tcW w:type="dxa" w:w="4320"/>
            <w:vAlign w:val="top"/>
          </w:tcPr>
          <w:p>
            <w:r/>
            <w:r>
              <w:rPr>
                <w:rFonts w:ascii="Calibri" w:hAnsi="Calibri" w:cs="Calibri" w:eastAsia="Calibri"/>
                <w:b w:val="0"/>
                <w:i w:val="0"/>
                <w:sz w:val="21"/>
              </w:rPr>
              <w:t>Trained model artefacts (weights, fitted feature pipelines, metadata) plus their version history and deployment stages.</w:t>
            </w:r>
          </w:p>
        </w:tc>
        <w:tc>
          <w:tcPr>
            <w:tcW w:type="dxa" w:w="3744"/>
            <w:vAlign w:val="top"/>
          </w:tcPr>
          <w:p>
            <w:r/>
            <w:r>
              <w:rPr>
                <w:rFonts w:ascii="Calibri" w:hAnsi="Calibri" w:cs="Calibri" w:eastAsia="Calibri"/>
                <w:b w:val="0"/>
                <w:i w:val="0"/>
                <w:sz w:val="21"/>
              </w:rPr>
              <w:t>MLflow Model Registry, Weights &amp; Biases, SageMaker Model Registry, Vertex AI Model Registry.</w:t>
            </w:r>
          </w:p>
        </w:tc>
      </w:tr>
    </w:tbl>
    <w:p>
      <w:pPr>
        <w:spacing w:before="120" w:after="80"/>
      </w:pPr>
      <w:r>
        <w:rPr>
          <w:rFonts w:ascii="Calibri" w:hAnsi="Calibri" w:cs="Calibri" w:eastAsia="Calibri"/>
          <w:b w:val="0"/>
          <w:i w:val="0"/>
          <w:sz w:val="22"/>
        </w:rPr>
        <w:t>The cardinal rule: code lives in git, images live in the Docker registry, models live in the model registry. They are produced and consumed at different cadences by different roles, and they version independently.</w:t>
      </w:r>
    </w:p>
    <w:p>
      <w:pPr>
        <w:spacing w:before="200" w:after="40"/>
      </w:pPr>
      <w:r>
        <w:rPr>
          <w:rFonts w:ascii="Calibri" w:hAnsi="Calibri" w:cs="Calibri" w:eastAsia="Calibri"/>
          <w:b/>
          <w:i w:val="0"/>
          <w:color w:val="1F3864"/>
          <w:sz w:val="24"/>
        </w:rPr>
        <w:t>Why the model is not in the Docker image</w:t>
      </w:r>
    </w:p>
    <w:p>
      <w:pPr>
        <w:spacing w:before="0" w:after="80"/>
      </w:pPr>
      <w:r>
        <w:rPr>
          <w:rFonts w:ascii="Calibri" w:hAnsi="Calibri" w:cs="Calibri" w:eastAsia="Calibri"/>
          <w:b w:val="0"/>
          <w:i w:val="0"/>
          <w:sz w:val="22"/>
        </w:rPr>
        <w:t>A common question. Docker images include the code that uses a model but typically not the model itself. The model is loaded at runtime from the model registry. Three reasons this separation exists:</w:t>
      </w:r>
    </w:p>
    <w:p>
      <w:pPr>
        <w:pStyle w:val="ListBullet"/>
        <w:spacing w:before="0" w:after="40"/>
        <w:ind w:left="360"/>
      </w:pPr>
      <w:r>
        <w:rPr>
          <w:rFonts w:ascii="Calibri" w:hAnsi="Calibri" w:cs="Calibri" w:eastAsia="Calibri"/>
          <w:b/>
          <w:i w:val="0"/>
          <w:sz w:val="22"/>
        </w:rPr>
        <w:t>Cadence mismatch.</w:t>
      </w:r>
      <w:r>
        <w:rPr>
          <w:rFonts w:ascii="Calibri" w:hAnsi="Calibri" w:cs="Calibri" w:eastAsia="Calibri"/>
          <w:b w:val="0"/>
          <w:i w:val="0"/>
          <w:sz w:val="22"/>
        </w:rPr>
        <w:t xml:space="preserve"> Models retrain weekly; images rebuild monthly. Baking the model into the image would require rebuilding the entire image (~1GB) every training cycle.</w:t>
      </w:r>
    </w:p>
    <w:p>
      <w:pPr>
        <w:pStyle w:val="ListBullet"/>
        <w:spacing w:before="0" w:after="40"/>
        <w:ind w:left="360"/>
      </w:pPr>
      <w:r>
        <w:rPr>
          <w:rFonts w:ascii="Calibri" w:hAnsi="Calibri" w:cs="Calibri" w:eastAsia="Calibri"/>
          <w:b/>
          <w:i w:val="0"/>
          <w:sz w:val="22"/>
        </w:rPr>
        <w:t>Independent rollback.</w:t>
      </w:r>
      <w:r>
        <w:rPr>
          <w:rFonts w:ascii="Calibri" w:hAnsi="Calibri" w:cs="Calibri" w:eastAsia="Calibri"/>
          <w:b w:val="0"/>
          <w:i w:val="0"/>
          <w:sz w:val="22"/>
        </w:rPr>
        <w:t xml:space="preserve"> If model v17 misbehaves, promoting v16 back to Production is a registry operation that takes seconds. If the model were in the image, rollback would require rebuilding and redeploying.</w:t>
      </w:r>
    </w:p>
    <w:p>
      <w:pPr>
        <w:pStyle w:val="ListBullet"/>
        <w:spacing w:before="0" w:after="40"/>
        <w:ind w:left="360"/>
      </w:pPr>
      <w:r>
        <w:rPr>
          <w:rFonts w:ascii="Calibri" w:hAnsi="Calibri" w:cs="Calibri" w:eastAsia="Calibri"/>
          <w:b/>
          <w:i w:val="0"/>
          <w:sz w:val="22"/>
        </w:rPr>
        <w:t>Multi-model serving.</w:t>
      </w:r>
      <w:r>
        <w:rPr>
          <w:rFonts w:ascii="Calibri" w:hAnsi="Calibri" w:cs="Calibri" w:eastAsia="Calibri"/>
          <w:b w:val="0"/>
          <w:i w:val="0"/>
          <w:sz w:val="22"/>
        </w:rPr>
        <w:t xml:space="preserve"> The same serving image often serves several models. The image is generic; the registry holds the specifics.</w:t>
      </w:r>
    </w:p>
    <w:p>
      <w:pPr>
        <w:spacing w:before="360" w:after="120"/>
        <w:pBdr>
          <w:bottom w:val="single" w:sz="8" w:space="1" w:color="1F3864"/>
        </w:pBdr>
      </w:pPr>
      <w:r>
        <w:rPr>
          <w:rFonts w:ascii="Calibri" w:hAnsi="Calibri" w:cs="Calibri" w:eastAsia="Calibri"/>
          <w:b/>
          <w:i w:val="0"/>
          <w:color w:val="1F3864"/>
          <w:sz w:val="32"/>
        </w:rPr>
        <w:t>3.  The Medallion Architecture (Bronze / Silver / Gold)</w:t>
      </w:r>
    </w:p>
    <w:p>
      <w:pPr>
        <w:spacing w:before="0" w:after="80"/>
      </w:pPr>
      <w:r>
        <w:rPr>
          <w:rFonts w:ascii="Calibri" w:hAnsi="Calibri" w:cs="Calibri" w:eastAsia="Calibri"/>
          <w:b w:val="0"/>
          <w:i w:val="0"/>
          <w:sz w:val="22"/>
        </w:rPr>
        <w:t>The standard pattern for organising data inside a warehouse or lakehouse. Originated at Databricks but now near-universal regardless of vendor. Three layers, increasing in trustworthiness and specificity.</w:t>
      </w:r>
    </w:p>
    <w:tbl>
      <w:tblPr>
        <w:tblStyle w:val="LightGrid-Accent1"/>
        <w:tblW w:type="auto" w:w="0"/>
        <w:tblLook w:firstColumn="1" w:firstRow="1" w:lastColumn="0" w:lastRow="0" w:noHBand="0" w:noVBand="1" w:val="04A0"/>
      </w:tblPr>
      <w:tblGrid>
        <w:gridCol w:w="3312"/>
        <w:gridCol w:w="3312"/>
        <w:gridCol w:w="3312"/>
      </w:tblGrid>
      <w:tr>
        <w:tc>
          <w:tcPr>
            <w:tcW w:type="dxa" w:w="2016"/>
            <w:shd w:val="clear" w:color="auto" w:fill="1F3864"/>
            <w:vAlign w:val="center"/>
          </w:tcPr>
          <w:p>
            <w:pPr>
              <w:jc w:val="left"/>
            </w:pPr>
            <w:r/>
            <w:r>
              <w:rPr>
                <w:rFonts w:ascii="Calibri" w:hAnsi="Calibri" w:cs="Calibri" w:eastAsia="Calibri"/>
                <w:b/>
                <w:i w:val="0"/>
                <w:color w:val="FFFFFF"/>
                <w:sz w:val="22"/>
              </w:rPr>
              <w:t>Layer</w:t>
            </w:r>
          </w:p>
        </w:tc>
        <w:tc>
          <w:tcPr>
            <w:tcW w:type="dxa" w:w="5760"/>
            <w:shd w:val="clear" w:color="auto" w:fill="1F3864"/>
            <w:vAlign w:val="center"/>
          </w:tcPr>
          <w:p>
            <w:pPr>
              <w:jc w:val="left"/>
            </w:pPr>
            <w:r/>
            <w:r>
              <w:rPr>
                <w:rFonts w:ascii="Calibri" w:hAnsi="Calibri" w:cs="Calibri" w:eastAsia="Calibri"/>
                <w:b/>
                <w:i w:val="0"/>
                <w:color w:val="FFFFFF"/>
                <w:sz w:val="22"/>
              </w:rPr>
              <w:t>Contents</w:t>
            </w:r>
          </w:p>
        </w:tc>
        <w:tc>
          <w:tcPr>
            <w:tcW w:type="dxa" w:w="2592"/>
            <w:shd w:val="clear" w:color="auto" w:fill="1F3864"/>
            <w:vAlign w:val="center"/>
          </w:tcPr>
          <w:p>
            <w:pPr>
              <w:jc w:val="left"/>
            </w:pPr>
            <w:r/>
            <w:r>
              <w:rPr>
                <w:rFonts w:ascii="Calibri" w:hAnsi="Calibri" w:cs="Calibri" w:eastAsia="Calibri"/>
                <w:b/>
                <w:i w:val="0"/>
                <w:color w:val="FFFFFF"/>
                <w:sz w:val="22"/>
              </w:rPr>
              <w:t>Owner</w:t>
            </w:r>
          </w:p>
        </w:tc>
      </w:tr>
      <w:tr>
        <w:tc>
          <w:tcPr>
            <w:tcW w:type="dxa" w:w="2016"/>
            <w:vAlign w:val="top"/>
          </w:tcPr>
          <w:p>
            <w:r/>
            <w:r>
              <w:rPr>
                <w:rFonts w:ascii="Calibri" w:hAnsi="Calibri" w:cs="Calibri" w:eastAsia="Calibri"/>
                <w:b w:val="0"/>
                <w:i w:val="0"/>
                <w:sz w:val="21"/>
              </w:rPr>
              <w:t>Bronze (Raw)</w:t>
            </w:r>
          </w:p>
        </w:tc>
        <w:tc>
          <w:tcPr>
            <w:tcW w:type="dxa" w:w="5760"/>
            <w:vAlign w:val="top"/>
          </w:tcPr>
          <w:p>
            <w:r/>
            <w:r>
              <w:rPr>
                <w:rFonts w:ascii="Calibri" w:hAnsi="Calibri" w:cs="Calibri" w:eastAsia="Calibri"/>
                <w:b w:val="0"/>
                <w:i w:val="0"/>
                <w:sz w:val="21"/>
              </w:rPr>
              <w:t>Append-only, immutable, exactly what arrived from each source. No cleaning. Wrong data lives here too as the audit trail. Satisfies regulatory "show me everything you received" requests.</w:t>
            </w:r>
          </w:p>
        </w:tc>
        <w:tc>
          <w:tcPr>
            <w:tcW w:type="dxa" w:w="2592"/>
            <w:vAlign w:val="top"/>
          </w:tcPr>
          <w:p>
            <w:r/>
            <w:r>
              <w:rPr>
                <w:rFonts w:ascii="Calibri" w:hAnsi="Calibri" w:cs="Calibri" w:eastAsia="Calibri"/>
                <w:b w:val="0"/>
                <w:i w:val="0"/>
                <w:sz w:val="21"/>
              </w:rPr>
              <w:t>Data Engineer</w:t>
            </w:r>
          </w:p>
        </w:tc>
      </w:tr>
      <w:tr>
        <w:tc>
          <w:tcPr>
            <w:tcW w:type="dxa" w:w="2016"/>
            <w:vAlign w:val="top"/>
          </w:tcPr>
          <w:p>
            <w:r/>
            <w:r>
              <w:rPr>
                <w:rFonts w:ascii="Calibri" w:hAnsi="Calibri" w:cs="Calibri" w:eastAsia="Calibri"/>
                <w:b w:val="0"/>
                <w:i w:val="0"/>
                <w:sz w:val="21"/>
              </w:rPr>
              <w:t>Silver (Conformed)</w:t>
            </w:r>
          </w:p>
        </w:tc>
        <w:tc>
          <w:tcPr>
            <w:tcW w:type="dxa" w:w="5760"/>
            <w:vAlign w:val="top"/>
          </w:tcPr>
          <w:p>
            <w:r/>
            <w:r>
              <w:rPr>
                <w:rFonts w:ascii="Calibri" w:hAnsi="Calibri" w:cs="Calibri" w:eastAsia="Calibri"/>
                <w:b w:val="0"/>
                <w:i w:val="0"/>
                <w:sz w:val="21"/>
              </w:rPr>
              <w:t>Deduplicated, typed, schema-validated, lightly business-ruled. Trustworthy but not yet shaped for any specific use case. Multiple downstream consumers read from silver.</w:t>
            </w:r>
          </w:p>
        </w:tc>
        <w:tc>
          <w:tcPr>
            <w:tcW w:type="dxa" w:w="2592"/>
            <w:vAlign w:val="top"/>
          </w:tcPr>
          <w:p>
            <w:r/>
            <w:r>
              <w:rPr>
                <w:rFonts w:ascii="Calibri" w:hAnsi="Calibri" w:cs="Calibri" w:eastAsia="Calibri"/>
                <w:b w:val="0"/>
                <w:i w:val="0"/>
                <w:sz w:val="21"/>
              </w:rPr>
              <w:t>Data Engineer</w:t>
            </w:r>
          </w:p>
        </w:tc>
      </w:tr>
      <w:tr>
        <w:tc>
          <w:tcPr>
            <w:tcW w:type="dxa" w:w="2016"/>
            <w:vAlign w:val="top"/>
          </w:tcPr>
          <w:p>
            <w:r/>
            <w:r>
              <w:rPr>
                <w:rFonts w:ascii="Calibri" w:hAnsi="Calibri" w:cs="Calibri" w:eastAsia="Calibri"/>
                <w:b w:val="0"/>
                <w:i w:val="0"/>
                <w:sz w:val="21"/>
              </w:rPr>
              <w:t>Gold (Curated)</w:t>
            </w:r>
          </w:p>
        </w:tc>
        <w:tc>
          <w:tcPr>
            <w:tcW w:type="dxa" w:w="5760"/>
            <w:vAlign w:val="top"/>
          </w:tcPr>
          <w:p>
            <w:r/>
            <w:r>
              <w:rPr>
                <w:rFonts w:ascii="Calibri" w:hAnsi="Calibri" w:cs="Calibri" w:eastAsia="Calibri"/>
                <w:b w:val="0"/>
                <w:i w:val="0"/>
                <w:sz w:val="21"/>
              </w:rPr>
              <w:t>Business-logic applied, joined and aggregated to the grain a specific consumer needs. Multiple gold tables exist for different consumers (ML, BI, regulatory).</w:t>
            </w:r>
          </w:p>
        </w:tc>
        <w:tc>
          <w:tcPr>
            <w:tcW w:type="dxa" w:w="2592"/>
            <w:vAlign w:val="top"/>
          </w:tcPr>
          <w:p>
            <w:r/>
            <w:r>
              <w:rPr>
                <w:rFonts w:ascii="Calibri" w:hAnsi="Calibri" w:cs="Calibri" w:eastAsia="Calibri"/>
                <w:b w:val="0"/>
                <w:i w:val="0"/>
                <w:sz w:val="21"/>
              </w:rPr>
              <w:t>Data Engineer</w:t>
            </w:r>
          </w:p>
        </w:tc>
      </w:tr>
    </w:tbl>
    <w:p>
      <w:pPr>
        <w:spacing w:before="120" w:after="80"/>
      </w:pPr>
      <w:r>
        <w:rPr>
          <w:rFonts w:ascii="Calibri" w:hAnsi="Calibri" w:cs="Calibri" w:eastAsia="Calibri"/>
          <w:b w:val="0"/>
          <w:i w:val="0"/>
          <w:sz w:val="22"/>
        </w:rPr>
        <w:t>The handoff between data engineering and data science / ML engineering happens at the gold layer. Data engineers' responsibility ends when the gold layer is correct, complete, fresh, and contract-validated. Data scientists' responsibility starts at "I trust the gold layer to feed my model." This boundary is what makes a well-functioning data team possible; bad orgs blur it.</w:t>
      </w:r>
    </w:p>
    <w:p>
      <w:pPr>
        <w:spacing w:before="360" w:after="120"/>
        <w:pBdr>
          <w:bottom w:val="single" w:sz="8" w:space="1" w:color="1F3864"/>
        </w:pBdr>
      </w:pPr>
      <w:r>
        <w:rPr>
          <w:rFonts w:ascii="Calibri" w:hAnsi="Calibri" w:cs="Calibri" w:eastAsia="Calibri"/>
          <w:b/>
          <w:i w:val="0"/>
          <w:color w:val="1F3864"/>
          <w:sz w:val="32"/>
        </w:rPr>
        <w:t>4.  The Two Code Paths in the Trunk</w:t>
      </w:r>
    </w:p>
    <w:p>
      <w:pPr>
        <w:spacing w:before="0" w:after="80"/>
      </w:pPr>
      <w:r>
        <w:rPr>
          <w:rFonts w:ascii="Calibri" w:hAnsi="Calibri" w:cs="Calibri" w:eastAsia="Calibri"/>
          <w:b w:val="0"/>
          <w:i w:val="0"/>
          <w:sz w:val="22"/>
        </w:rPr>
        <w:t>After code merges to the main branch, two distinct pieces of code live in the trunk. Each runs at a different cadence and serves a different purpose. They are NOT the same code wearing different hats — they are separate Python modules with separate responsibilities.</w:t>
      </w:r>
    </w:p>
    <w:p>
      <w:pPr>
        <w:spacing w:before="120" w:after="40"/>
      </w:pPr>
      <w:r>
        <w:rPr>
          <w:rFonts w:ascii="Calibri" w:hAnsi="Calibri" w:cs="Calibri" w:eastAsia="Calibri"/>
          <w:b/>
          <w:i/>
          <w:color w:val="595959"/>
          <w:sz w:val="22"/>
        </w:rPr>
        <w:t>The Training Pipeline (e.g. src/training/train.py)</w:t>
      </w:r>
    </w:p>
    <w:p>
      <w:pPr>
        <w:pStyle w:val="ListBullet"/>
        <w:spacing w:before="0" w:after="40"/>
        <w:ind w:left="360"/>
      </w:pPr>
      <w:r>
        <w:rPr>
          <w:rFonts w:ascii="Calibri" w:hAnsi="Calibri" w:cs="Calibri" w:eastAsia="Calibri"/>
          <w:b w:val="0"/>
          <w:i w:val="0"/>
          <w:sz w:val="22"/>
        </w:rPr>
        <w:t>Runs offline, on a schedule (typically weekly cron) or triggered by a code merge.</w:t>
      </w:r>
    </w:p>
    <w:p>
      <w:pPr>
        <w:pStyle w:val="ListBullet"/>
        <w:spacing w:before="0" w:after="40"/>
        <w:ind w:left="360"/>
      </w:pPr>
      <w:r>
        <w:rPr>
          <w:rFonts w:ascii="Calibri" w:hAnsi="Calibri" w:cs="Calibri" w:eastAsia="Calibri"/>
          <w:b w:val="0"/>
          <w:i w:val="0"/>
          <w:sz w:val="22"/>
        </w:rPr>
        <w:t>Reads gold-layer training data from the warehouse.</w:t>
      </w:r>
    </w:p>
    <w:p>
      <w:pPr>
        <w:pStyle w:val="ListBullet"/>
        <w:spacing w:before="0" w:after="40"/>
        <w:ind w:left="360"/>
      </w:pPr>
      <w:r>
        <w:rPr>
          <w:rFonts w:ascii="Calibri" w:hAnsi="Calibri" w:cs="Calibri" w:eastAsia="Calibri"/>
          <w:b w:val="0"/>
          <w:i w:val="0"/>
          <w:sz w:val="22"/>
        </w:rPr>
        <w:t>Fits a model using scikit-learn, Spark MLlib, XGBoost, etc.</w:t>
      </w:r>
    </w:p>
    <w:p>
      <w:pPr>
        <w:pStyle w:val="ListBullet"/>
        <w:spacing w:before="0" w:after="40"/>
        <w:ind w:left="360"/>
      </w:pPr>
      <w:r>
        <w:rPr>
          <w:rFonts w:ascii="Calibri" w:hAnsi="Calibri" w:cs="Calibri" w:eastAsia="Calibri"/>
          <w:b w:val="0"/>
          <w:i w:val="0"/>
          <w:sz w:val="22"/>
        </w:rPr>
        <w:t>Logs the trained model as a new versioned artefact in the Model Registry.</w:t>
      </w:r>
    </w:p>
    <w:p>
      <w:pPr>
        <w:pStyle w:val="ListBullet"/>
        <w:spacing w:before="0" w:after="40"/>
        <w:ind w:left="360"/>
      </w:pPr>
      <w:r>
        <w:rPr>
          <w:rFonts w:ascii="Calibri" w:hAnsi="Calibri" w:cs="Calibri" w:eastAsia="Calibri"/>
          <w:b w:val="0"/>
          <w:i w:val="0"/>
          <w:sz w:val="22"/>
        </w:rPr>
        <w:t>Terminates after producing the artefact. Does not stay running.</w:t>
      </w:r>
    </w:p>
    <w:p>
      <w:pPr>
        <w:spacing w:before="120" w:after="40"/>
      </w:pPr>
      <w:r>
        <w:rPr>
          <w:rFonts w:ascii="Calibri" w:hAnsi="Calibri" w:cs="Calibri" w:eastAsia="Calibri"/>
          <w:b/>
          <w:i/>
          <w:color w:val="595959"/>
          <w:sz w:val="22"/>
        </w:rPr>
        <w:t>The Serving Service (e.g. src/serving/app.py)</w:t>
      </w:r>
    </w:p>
    <w:p>
      <w:pPr>
        <w:pStyle w:val="ListBullet"/>
        <w:spacing w:before="0" w:after="40"/>
        <w:ind w:left="360"/>
      </w:pPr>
      <w:r>
        <w:rPr>
          <w:rFonts w:ascii="Calibri" w:hAnsi="Calibri" w:cs="Calibri" w:eastAsia="Calibri"/>
          <w:b w:val="0"/>
          <w:i w:val="0"/>
          <w:sz w:val="22"/>
        </w:rPr>
        <w:t>Runs continuously, 24/7, as a long-lived process.</w:t>
      </w:r>
    </w:p>
    <w:p>
      <w:pPr>
        <w:pStyle w:val="ListBullet"/>
        <w:spacing w:before="0" w:after="40"/>
        <w:ind w:left="360"/>
      </w:pPr>
      <w:r>
        <w:rPr>
          <w:rFonts w:ascii="Calibri" w:hAnsi="Calibri" w:cs="Calibri" w:eastAsia="Calibri"/>
          <w:b w:val="0"/>
          <w:i w:val="0"/>
          <w:sz w:val="22"/>
        </w:rPr>
        <w:t>Loads the current Production-tagged model from the registry at startup.</w:t>
      </w:r>
    </w:p>
    <w:p>
      <w:pPr>
        <w:pStyle w:val="ListBullet"/>
        <w:spacing w:before="0" w:after="40"/>
        <w:ind w:left="360"/>
      </w:pPr>
      <w:r>
        <w:rPr>
          <w:rFonts w:ascii="Calibri" w:hAnsi="Calibri" w:cs="Calibri" w:eastAsia="Calibri"/>
          <w:b w:val="0"/>
          <w:i w:val="0"/>
          <w:sz w:val="22"/>
        </w:rPr>
        <w:t>Exposes an HTTP API (typically FastAPI on Python) for scoring requests.</w:t>
      </w:r>
    </w:p>
    <w:p>
      <w:pPr>
        <w:pStyle w:val="ListBullet"/>
        <w:spacing w:before="0" w:after="40"/>
        <w:ind w:left="360"/>
      </w:pPr>
      <w:r>
        <w:rPr>
          <w:rFonts w:ascii="Calibri" w:hAnsi="Calibri" w:cs="Calibri" w:eastAsia="Calibri"/>
          <w:b w:val="0"/>
          <w:i w:val="0"/>
          <w:sz w:val="22"/>
        </w:rPr>
        <w:t>Returns predictions in milliseconds per request.</w:t>
      </w:r>
    </w:p>
    <w:p>
      <w:pPr>
        <w:pStyle w:val="ListBullet"/>
        <w:spacing w:before="0" w:after="40"/>
        <w:ind w:left="360"/>
      </w:pPr>
      <w:r>
        <w:rPr>
          <w:rFonts w:ascii="Calibri" w:hAnsi="Calibri" w:cs="Calibri" w:eastAsia="Calibri"/>
          <w:b w:val="0"/>
          <w:i w:val="0"/>
          <w:sz w:val="22"/>
        </w:rPr>
        <w:t>Reloads the model when a new version is promoted to Production (either automatically on a refresh schedule or via a deliberate restart).</w:t>
      </w:r>
    </w:p>
    <w:p>
      <w:pPr>
        <w:spacing w:before="120" w:after="80"/>
      </w:pPr>
      <w:r>
        <w:rPr>
          <w:rFonts w:ascii="Calibri" w:hAnsi="Calibri" w:cs="Calibri" w:eastAsia="Calibri"/>
          <w:b w:val="0"/>
          <w:i w:val="0"/>
          <w:sz w:val="22"/>
        </w:rPr>
        <w:t>The training pipeline writes models to the registry. The serving service reads them. The registry is the contract between them — neither knows about the other directly.</w:t>
      </w:r>
    </w:p>
    <w:p>
      <w:pPr>
        <w:spacing w:before="360" w:after="120"/>
        <w:pBdr>
          <w:bottom w:val="single" w:sz="8" w:space="1" w:color="1F3864"/>
        </w:pBdr>
      </w:pPr>
      <w:r>
        <w:rPr>
          <w:rFonts w:ascii="Calibri" w:hAnsi="Calibri" w:cs="Calibri" w:eastAsia="Calibri"/>
          <w:b/>
          <w:i w:val="0"/>
          <w:color w:val="1F3864"/>
          <w:sz w:val="32"/>
        </w:rPr>
        <w:t>5.  The Model Lifecycle</w:t>
      </w:r>
    </w:p>
    <w:p>
      <w:pPr>
        <w:spacing w:before="0" w:after="80"/>
      </w:pPr>
      <w:r>
        <w:rPr>
          <w:rFonts w:ascii="Calibri" w:hAnsi="Calibri" w:cs="Calibri" w:eastAsia="Calibri"/>
          <w:b w:val="0"/>
          <w:i w:val="0"/>
          <w:sz w:val="22"/>
        </w:rPr>
        <w:t>A complete model journey from data scientist's notebook to live production traffic. Each step is enforceable and auditable.</w:t>
      </w:r>
    </w:p>
    <w:p>
      <w:pPr>
        <w:spacing w:before="80" w:after="80"/>
        <w:ind w:left="216"/>
        <w:shd w:val="clear" w:color="auto" w:fill="F2F2F2"/>
      </w:pPr>
      <w:r>
        <w:rPr>
          <w:rFonts w:ascii="Consolas" w:hAnsi="Consolas" w:cs="Consolas" w:eastAsia="Consolas"/>
          <w:b w:val="0"/>
          <w:i w:val="0"/>
          <w:sz w:val="20"/>
        </w:rPr>
        <w:t>1.  Data scientist iterates locally in a notebook on the gold layer.</w:t>
        <w:br/>
        <w:t>2.  Once stable, refactors to proper Python modules; opens a PR.</w:t>
        <w:br/>
        <w:t>3.  CI fires automatically: linting, unit tests, contract checks.</w:t>
        <w:br/>
        <w:t>4.  Human reviewer (often the ML engineer) reviews architecture +</w:t>
        <w:br/>
        <w:t xml:space="preserve">    edge cases.</w:t>
        <w:br/>
        <w:t>5.  PR merges to trunk.</w:t>
        <w:br/>
        <w:t>6.  Training pipeline triggers (scheduled cron or merge-triggered).</w:t>
        <w:br/>
        <w:t>7.  Pipeline reads gold-layer data, trains the model.</w:t>
        <w:br/>
        <w:t>8.  Trained model lands in the Model Registry as a NEW VERSION.</w:t>
        <w:br/>
        <w:t>9.  Model registers in the "Staging" stage by default.</w:t>
        <w:br/>
        <w:t>10. Promotion gates run: metric thresholds, fairness audit,</w:t>
        <w:br/>
        <w:t xml:space="preserve">    champion/challenger comparison.</w:t>
        <w:br/>
        <w:t>11. Reviewer (ML engineer or model risk team) promotes to</w:t>
        <w:br/>
        <w:t xml:space="preserve">    "Production" stage. This is a REGISTRY operation, not a code</w:t>
        <w:br/>
        <w:t xml:space="preserve">    change.</w:t>
        <w:br/>
        <w:t>12. Serving service picks up the new Production model on its next</w:t>
        <w:br/>
        <w:t xml:space="preserve">    refresh.</w:t>
        <w:br/>
        <w:t>13. Monitoring tracks live performance: drift, latency, error rate.</w:t>
        <w:br/>
        <w:t>14. Cycle repeats: drift triggers retrain (no code change), or</w:t>
        <w:br/>
        <w:t xml:space="preserve">    performance issues trigger a code change.</w:t>
      </w:r>
    </w:p>
    <w:p>
      <w:pPr>
        <w:spacing w:before="200" w:after="40"/>
      </w:pPr>
      <w:r>
        <w:rPr>
          <w:rFonts w:ascii="Calibri" w:hAnsi="Calibri" w:cs="Calibri" w:eastAsia="Calibri"/>
          <w:b/>
          <w:i w:val="0"/>
          <w:color w:val="1F3864"/>
          <w:sz w:val="24"/>
        </w:rPr>
        <w:t>The Champion / Challenger Pattern</w:t>
      </w:r>
    </w:p>
    <w:p>
      <w:pPr>
        <w:spacing w:before="0" w:after="80"/>
      </w:pPr>
      <w:r>
        <w:rPr>
          <w:rFonts w:ascii="Calibri" w:hAnsi="Calibri" w:cs="Calibri" w:eastAsia="Calibri"/>
          <w:b w:val="0"/>
          <w:i w:val="0"/>
          <w:sz w:val="22"/>
        </w:rPr>
        <w:t>Between Staging and full Production rollout, well-run teams use a champion / challenger pattern. The current Production model is the champion. The newly trained Staging model is the challenger. A small fraction of live traffic (5–10%) routes to the challenger while the champion continues serving the rest. Over a window of days to weeks, the team compares actual outcomes:</w:t>
      </w:r>
    </w:p>
    <w:p>
      <w:pPr>
        <w:pStyle w:val="ListBullet"/>
        <w:spacing w:before="0" w:after="40"/>
        <w:ind w:left="360"/>
      </w:pPr>
      <w:r>
        <w:rPr>
          <w:rFonts w:ascii="Calibri" w:hAnsi="Calibri" w:cs="Calibri" w:eastAsia="Calibri"/>
          <w:b w:val="0"/>
          <w:i w:val="0"/>
          <w:sz w:val="22"/>
        </w:rPr>
        <w:t>Does the challenger's online performance match its offline evaluation?</w:t>
      </w:r>
    </w:p>
    <w:p>
      <w:pPr>
        <w:pStyle w:val="ListBullet"/>
        <w:spacing w:before="0" w:after="40"/>
        <w:ind w:left="360"/>
      </w:pPr>
      <w:r>
        <w:rPr>
          <w:rFonts w:ascii="Calibri" w:hAnsi="Calibri" w:cs="Calibri" w:eastAsia="Calibri"/>
          <w:b w:val="0"/>
          <w:i w:val="0"/>
          <w:sz w:val="22"/>
        </w:rPr>
        <w:t>Does it actually approve more good applicants and reject more bad ones?</w:t>
      </w:r>
    </w:p>
    <w:p>
      <w:pPr>
        <w:pStyle w:val="ListBullet"/>
        <w:spacing w:before="0" w:after="40"/>
        <w:ind w:left="360"/>
      </w:pPr>
      <w:r>
        <w:rPr>
          <w:rFonts w:ascii="Calibri" w:hAnsi="Calibri" w:cs="Calibri" w:eastAsia="Calibri"/>
          <w:b w:val="0"/>
          <w:i w:val="0"/>
          <w:sz w:val="22"/>
        </w:rPr>
        <w:t>Is its latency comparable?</w:t>
      </w:r>
    </w:p>
    <w:p>
      <w:pPr>
        <w:pStyle w:val="ListBullet"/>
        <w:spacing w:before="0" w:after="40"/>
        <w:ind w:left="360"/>
      </w:pPr>
      <w:r>
        <w:rPr>
          <w:rFonts w:ascii="Calibri" w:hAnsi="Calibri" w:cs="Calibri" w:eastAsia="Calibri"/>
          <w:b w:val="0"/>
          <w:i w:val="0"/>
          <w:sz w:val="22"/>
        </w:rPr>
        <w:t>Does it behave well on edge cases the offline test set did not cover?</w:t>
      </w:r>
    </w:p>
    <w:p>
      <w:pPr>
        <w:spacing w:before="0" w:after="80"/>
      </w:pPr>
      <w:r>
        <w:rPr>
          <w:rFonts w:ascii="Calibri" w:hAnsi="Calibri" w:cs="Calibri" w:eastAsia="Calibri"/>
          <w:b w:val="0"/>
          <w:i w:val="0"/>
          <w:sz w:val="22"/>
        </w:rPr>
        <w:t>If the challenger wins, it gets promoted to full Production. If the champion wins, the challenger is archived. Champion / challenger is the safety net that catches the cases where offline metrics disagree with online behaviour.</w:t>
      </w:r>
    </w:p>
    <w:p>
      <w:pPr>
        <w:spacing w:before="360" w:after="120"/>
        <w:pBdr>
          <w:bottom w:val="single" w:sz="8" w:space="1" w:color="1F3864"/>
        </w:pBdr>
      </w:pPr>
      <w:r>
        <w:rPr>
          <w:rFonts w:ascii="Calibri" w:hAnsi="Calibri" w:cs="Calibri" w:eastAsia="Calibri"/>
          <w:b/>
          <w:i w:val="0"/>
          <w:color w:val="1F3864"/>
          <w:sz w:val="32"/>
        </w:rPr>
        <w:t>6.  The Three Cadences</w:t>
      </w:r>
    </w:p>
    <w:p>
      <w:pPr>
        <w:spacing w:before="0" w:after="80"/>
      </w:pPr>
      <w:r>
        <w:rPr>
          <w:rFonts w:ascii="Calibri" w:hAnsi="Calibri" w:cs="Calibri" w:eastAsia="Calibri"/>
          <w:b w:val="0"/>
          <w:i w:val="0"/>
          <w:sz w:val="22"/>
        </w:rPr>
        <w:t>A healthy production ML team runs three loops simultaneously, each at a different speed. Understanding which loop a particular activity belongs to is the difference between an engineer who reacts and an engineer who plans.</w:t>
      </w:r>
    </w:p>
    <w:tbl>
      <w:tblPr>
        <w:tblStyle w:val="LightGrid-Accent1"/>
        <w:tblW w:type="auto" w:w="0"/>
        <w:tblLook w:firstColumn="1" w:firstRow="1" w:lastColumn="0" w:lastRow="0" w:noHBand="0" w:noVBand="1" w:val="04A0"/>
      </w:tblPr>
      <w:tblGrid>
        <w:gridCol w:w="3312"/>
        <w:gridCol w:w="3312"/>
        <w:gridCol w:w="3312"/>
      </w:tblGrid>
      <w:tr>
        <w:tc>
          <w:tcPr>
            <w:tcW w:type="dxa" w:w="2016"/>
            <w:shd w:val="clear" w:color="auto" w:fill="1F3864"/>
            <w:vAlign w:val="center"/>
          </w:tcPr>
          <w:p>
            <w:pPr>
              <w:jc w:val="left"/>
            </w:pPr>
            <w:r/>
            <w:r>
              <w:rPr>
                <w:rFonts w:ascii="Calibri" w:hAnsi="Calibri" w:cs="Calibri" w:eastAsia="Calibri"/>
                <w:b/>
                <w:i w:val="0"/>
                <w:color w:val="FFFFFF"/>
                <w:sz w:val="22"/>
              </w:rPr>
              <w:t>Cadence</w:t>
            </w:r>
          </w:p>
        </w:tc>
        <w:tc>
          <w:tcPr>
            <w:tcW w:type="dxa" w:w="5184"/>
            <w:shd w:val="clear" w:color="auto" w:fill="1F3864"/>
            <w:vAlign w:val="center"/>
          </w:tcPr>
          <w:p>
            <w:pPr>
              <w:jc w:val="left"/>
            </w:pPr>
            <w:r/>
            <w:r>
              <w:rPr>
                <w:rFonts w:ascii="Calibri" w:hAnsi="Calibri" w:cs="Calibri" w:eastAsia="Calibri"/>
                <w:b/>
                <w:i w:val="0"/>
                <w:color w:val="FFFFFF"/>
                <w:sz w:val="22"/>
              </w:rPr>
              <w:t>What changes</w:t>
            </w:r>
          </w:p>
        </w:tc>
        <w:tc>
          <w:tcPr>
            <w:tcW w:type="dxa" w:w="3168"/>
            <w:shd w:val="clear" w:color="auto" w:fill="1F3864"/>
            <w:vAlign w:val="center"/>
          </w:tcPr>
          <w:p>
            <w:pPr>
              <w:jc w:val="left"/>
            </w:pPr>
            <w:r/>
            <w:r>
              <w:rPr>
                <w:rFonts w:ascii="Calibri" w:hAnsi="Calibri" w:cs="Calibri" w:eastAsia="Calibri"/>
                <w:b/>
                <w:i w:val="0"/>
                <w:color w:val="FFFFFF"/>
                <w:sz w:val="22"/>
              </w:rPr>
              <w:t>Triggers</w:t>
            </w:r>
          </w:p>
        </w:tc>
      </w:tr>
      <w:tr>
        <w:tc>
          <w:tcPr>
            <w:tcW w:type="dxa" w:w="2016"/>
            <w:vAlign w:val="top"/>
          </w:tcPr>
          <w:p>
            <w:r/>
            <w:r>
              <w:rPr>
                <w:rFonts w:ascii="Calibri" w:hAnsi="Calibri" w:cs="Calibri" w:eastAsia="Calibri"/>
                <w:b w:val="0"/>
                <w:i w:val="0"/>
                <w:sz w:val="21"/>
              </w:rPr>
              <w:t>Real-time / Per request</w:t>
            </w:r>
          </w:p>
        </w:tc>
        <w:tc>
          <w:tcPr>
            <w:tcW w:type="dxa" w:w="5184"/>
            <w:vAlign w:val="top"/>
          </w:tcPr>
          <w:p>
            <w:r/>
            <w:r>
              <w:rPr>
                <w:rFonts w:ascii="Calibri" w:hAnsi="Calibri" w:cs="Calibri" w:eastAsia="Calibri"/>
                <w:b w:val="0"/>
                <w:i w:val="0"/>
                <w:sz w:val="21"/>
              </w:rPr>
              <w:t>Scoring requests handled by the serving service. No code, no model — just inference using the loaded Production model.</w:t>
            </w:r>
          </w:p>
        </w:tc>
        <w:tc>
          <w:tcPr>
            <w:tcW w:type="dxa" w:w="3168"/>
            <w:vAlign w:val="top"/>
          </w:tcPr>
          <w:p>
            <w:r/>
            <w:r>
              <w:rPr>
                <w:rFonts w:ascii="Calibri" w:hAnsi="Calibri" w:cs="Calibri" w:eastAsia="Calibri"/>
                <w:b w:val="0"/>
                <w:i w:val="0"/>
                <w:sz w:val="21"/>
              </w:rPr>
              <w:t>Incoming HTTP request to the scoring API.</w:t>
            </w:r>
          </w:p>
        </w:tc>
      </w:tr>
      <w:tr>
        <w:tc>
          <w:tcPr>
            <w:tcW w:type="dxa" w:w="2016"/>
            <w:vAlign w:val="top"/>
          </w:tcPr>
          <w:p>
            <w:r/>
            <w:r>
              <w:rPr>
                <w:rFonts w:ascii="Calibri" w:hAnsi="Calibri" w:cs="Calibri" w:eastAsia="Calibri"/>
                <w:b w:val="0"/>
                <w:i w:val="0"/>
                <w:sz w:val="21"/>
              </w:rPr>
              <w:t>Hourly / Daily</w:t>
            </w:r>
          </w:p>
        </w:tc>
        <w:tc>
          <w:tcPr>
            <w:tcW w:type="dxa" w:w="5184"/>
            <w:vAlign w:val="top"/>
          </w:tcPr>
          <w:p>
            <w:r/>
            <w:r>
              <w:rPr>
                <w:rFonts w:ascii="Calibri" w:hAnsi="Calibri" w:cs="Calibri" w:eastAsia="Calibri"/>
                <w:b w:val="0"/>
                <w:i w:val="0"/>
                <w:sz w:val="21"/>
              </w:rPr>
              <w:t>Data ingestion (bronze → silver → gold). Monitoring dashboards refresh. Drift indicators evaluate.</w:t>
            </w:r>
          </w:p>
        </w:tc>
        <w:tc>
          <w:tcPr>
            <w:tcW w:type="dxa" w:w="3168"/>
            <w:vAlign w:val="top"/>
          </w:tcPr>
          <w:p>
            <w:r/>
            <w:r>
              <w:rPr>
                <w:rFonts w:ascii="Calibri" w:hAnsi="Calibri" w:cs="Calibri" w:eastAsia="Calibri"/>
                <w:b w:val="0"/>
                <w:i w:val="0"/>
                <w:sz w:val="21"/>
              </w:rPr>
              <w:t>Source data arrival, scheduled ETL jobs.</w:t>
            </w:r>
          </w:p>
        </w:tc>
      </w:tr>
      <w:tr>
        <w:tc>
          <w:tcPr>
            <w:tcW w:type="dxa" w:w="2016"/>
            <w:vAlign w:val="top"/>
          </w:tcPr>
          <w:p>
            <w:r/>
            <w:r>
              <w:rPr>
                <w:rFonts w:ascii="Calibri" w:hAnsi="Calibri" w:cs="Calibri" w:eastAsia="Calibri"/>
                <w:b w:val="0"/>
                <w:i w:val="0"/>
                <w:sz w:val="21"/>
              </w:rPr>
              <w:t>Weekly</w:t>
            </w:r>
          </w:p>
        </w:tc>
        <w:tc>
          <w:tcPr>
            <w:tcW w:type="dxa" w:w="5184"/>
            <w:vAlign w:val="top"/>
          </w:tcPr>
          <w:p>
            <w:r/>
            <w:r>
              <w:rPr>
                <w:rFonts w:ascii="Calibri" w:hAnsi="Calibri" w:cs="Calibri" w:eastAsia="Calibri"/>
                <w:b w:val="0"/>
                <w:i w:val="0"/>
                <w:sz w:val="21"/>
              </w:rPr>
              <w:t>Training pipeline retrains the model. New version produced. Champion / challenger evaluation runs.</w:t>
            </w:r>
          </w:p>
        </w:tc>
        <w:tc>
          <w:tcPr>
            <w:tcW w:type="dxa" w:w="3168"/>
            <w:vAlign w:val="top"/>
          </w:tcPr>
          <w:p>
            <w:r/>
            <w:r>
              <w:rPr>
                <w:rFonts w:ascii="Calibri" w:hAnsi="Calibri" w:cs="Calibri" w:eastAsia="Calibri"/>
                <w:b w:val="0"/>
                <w:i w:val="0"/>
                <w:sz w:val="21"/>
              </w:rPr>
              <w:t>Cron schedule (no code change).</w:t>
            </w:r>
          </w:p>
        </w:tc>
      </w:tr>
      <w:tr>
        <w:tc>
          <w:tcPr>
            <w:tcW w:type="dxa" w:w="2016"/>
            <w:vAlign w:val="top"/>
          </w:tcPr>
          <w:p>
            <w:r/>
            <w:r>
              <w:rPr>
                <w:rFonts w:ascii="Calibri" w:hAnsi="Calibri" w:cs="Calibri" w:eastAsia="Calibri"/>
                <w:b w:val="0"/>
                <w:i w:val="0"/>
                <w:sz w:val="21"/>
              </w:rPr>
              <w:t>Monthly</w:t>
            </w:r>
          </w:p>
        </w:tc>
        <w:tc>
          <w:tcPr>
            <w:tcW w:type="dxa" w:w="5184"/>
            <w:vAlign w:val="top"/>
          </w:tcPr>
          <w:p>
            <w:r/>
            <w:r>
              <w:rPr>
                <w:rFonts w:ascii="Calibri" w:hAnsi="Calibri" w:cs="Calibri" w:eastAsia="Calibri"/>
                <w:b w:val="0"/>
                <w:i w:val="0"/>
                <w:sz w:val="21"/>
              </w:rPr>
              <w:t>Code changes to the training pipeline or serving service. New features, hyperparameter tweaks, algorithm swaps. Model card review.</w:t>
            </w:r>
          </w:p>
        </w:tc>
        <w:tc>
          <w:tcPr>
            <w:tcW w:type="dxa" w:w="3168"/>
            <w:vAlign w:val="top"/>
          </w:tcPr>
          <w:p>
            <w:r/>
            <w:r>
              <w:rPr>
                <w:rFonts w:ascii="Calibri" w:hAnsi="Calibri" w:cs="Calibri" w:eastAsia="Calibri"/>
                <w:b w:val="0"/>
                <w:i w:val="0"/>
                <w:sz w:val="21"/>
              </w:rPr>
              <w:t>Data scientist or ML engineer initiates a PR.</w:t>
            </w:r>
          </w:p>
        </w:tc>
      </w:tr>
      <w:tr>
        <w:tc>
          <w:tcPr>
            <w:tcW w:type="dxa" w:w="2016"/>
            <w:vAlign w:val="top"/>
          </w:tcPr>
          <w:p>
            <w:r/>
            <w:r>
              <w:rPr>
                <w:rFonts w:ascii="Calibri" w:hAnsi="Calibri" w:cs="Calibri" w:eastAsia="Calibri"/>
                <w:b w:val="0"/>
                <w:i w:val="0"/>
                <w:sz w:val="21"/>
              </w:rPr>
              <w:t>Quarterly</w:t>
            </w:r>
          </w:p>
        </w:tc>
        <w:tc>
          <w:tcPr>
            <w:tcW w:type="dxa" w:w="5184"/>
            <w:vAlign w:val="top"/>
          </w:tcPr>
          <w:p>
            <w:r/>
            <w:r>
              <w:rPr>
                <w:rFonts w:ascii="Calibri" w:hAnsi="Calibri" w:cs="Calibri" w:eastAsia="Calibri"/>
                <w:b w:val="0"/>
                <w:i w:val="0"/>
                <w:sz w:val="21"/>
              </w:rPr>
              <w:t>Architecture changes. New data sources, new lakehouse vendors, new orchestration tools, version bumps for frameworks (Spark, MLflow, FastAPI).</w:t>
            </w:r>
          </w:p>
        </w:tc>
        <w:tc>
          <w:tcPr>
            <w:tcW w:type="dxa" w:w="3168"/>
            <w:vAlign w:val="top"/>
          </w:tcPr>
          <w:p>
            <w:r/>
            <w:r>
              <w:rPr>
                <w:rFonts w:ascii="Calibri" w:hAnsi="Calibri" w:cs="Calibri" w:eastAsia="Calibri"/>
                <w:b w:val="0"/>
                <w:i w:val="0"/>
                <w:sz w:val="21"/>
              </w:rPr>
              <w:t>Architect proposal, business requirement, framework end-of-life.</w:t>
            </w:r>
          </w:p>
        </w:tc>
      </w:tr>
    </w:tbl>
    <w:p>
      <w:pPr>
        <w:spacing w:before="360" w:after="120"/>
        <w:pBdr>
          <w:bottom w:val="single" w:sz="8" w:space="1" w:color="1F3864"/>
        </w:pBdr>
      </w:pPr>
      <w:r>
        <w:rPr>
          <w:rFonts w:ascii="Calibri" w:hAnsi="Calibri" w:cs="Calibri" w:eastAsia="Calibri"/>
          <w:b/>
          <w:i w:val="0"/>
          <w:color w:val="1F3864"/>
          <w:sz w:val="32"/>
        </w:rPr>
        <w:t>7.  The Three Contract Types</w:t>
      </w:r>
    </w:p>
    <w:p>
      <w:pPr>
        <w:spacing w:before="0" w:after="80"/>
      </w:pPr>
      <w:r>
        <w:rPr>
          <w:rFonts w:ascii="Calibri" w:hAnsi="Calibri" w:cs="Calibri" w:eastAsia="Calibri"/>
          <w:b w:val="0"/>
          <w:i w:val="0"/>
          <w:sz w:val="22"/>
        </w:rPr>
        <w:t>Production ML systems enforce correctness at three boundaries via different contract types. All three fire automatically without human intervention.</w:t>
      </w:r>
    </w:p>
    <w:p>
      <w:pPr>
        <w:spacing w:before="120" w:after="40"/>
      </w:pPr>
      <w:r>
        <w:rPr>
          <w:rFonts w:ascii="Calibri" w:hAnsi="Calibri" w:cs="Calibri" w:eastAsia="Calibri"/>
          <w:b/>
          <w:i/>
          <w:color w:val="595959"/>
          <w:sz w:val="22"/>
        </w:rPr>
        <w:t>Data Contracts (raw → silver boundary)</w:t>
      </w:r>
    </w:p>
    <w:p>
      <w:pPr>
        <w:spacing w:before="0" w:after="80"/>
      </w:pPr>
      <w:r>
        <w:rPr>
          <w:rFonts w:ascii="Calibri" w:hAnsi="Calibri" w:cs="Calibri" w:eastAsia="Calibri"/>
          <w:b w:val="0"/>
          <w:i w:val="0"/>
          <w:sz w:val="22"/>
        </w:rPr>
        <w:t>Validate incoming data against a schema and value-range specification before it enters the silver layer. Examples: row count within expected band, primary key uniqueness, target distribution within tolerance, no leakage columns present, numeric ranges within acceptable bounds. A failed contract aborts the pipeline rather than letting bad data drift through. Tools: Great Expectations, dbt tests, hand-rolled validators.</w:t>
      </w:r>
    </w:p>
    <w:p>
      <w:pPr>
        <w:spacing w:before="120" w:after="40"/>
      </w:pPr>
      <w:r>
        <w:rPr>
          <w:rFonts w:ascii="Calibri" w:hAnsi="Calibri" w:cs="Calibri" w:eastAsia="Calibri"/>
          <w:b/>
          <w:i/>
          <w:color w:val="595959"/>
          <w:sz w:val="22"/>
        </w:rPr>
        <w:t>Model Contracts (input / output schemas)</w:t>
      </w:r>
    </w:p>
    <w:p>
      <w:pPr>
        <w:spacing w:before="0" w:after="80"/>
      </w:pPr>
      <w:r>
        <w:rPr>
          <w:rFonts w:ascii="Calibri" w:hAnsi="Calibri" w:cs="Calibri" w:eastAsia="Calibri"/>
          <w:b w:val="0"/>
          <w:i w:val="0"/>
          <w:sz w:val="22"/>
        </w:rPr>
        <w:t>Define the API contract for the scoring service. Required input fields, types, valid ranges. Output schema (probability range, score range, reason codes structure). Enforced via Pydantic models on the request side and MLflow model signatures on the model side. Malformed requests return HTTP 400; the model is never fed garbage.</w:t>
      </w:r>
    </w:p>
    <w:p>
      <w:pPr>
        <w:spacing w:before="120" w:after="40"/>
      </w:pPr>
      <w:r>
        <w:rPr>
          <w:rFonts w:ascii="Calibri" w:hAnsi="Calibri" w:cs="Calibri" w:eastAsia="Calibri"/>
          <w:b/>
          <w:i/>
          <w:color w:val="595959"/>
          <w:sz w:val="22"/>
        </w:rPr>
        <w:t>Promotion Contracts (Staging → Production gates)</w:t>
      </w:r>
    </w:p>
    <w:p>
      <w:pPr>
        <w:spacing w:before="0" w:after="80"/>
      </w:pPr>
      <w:r>
        <w:rPr>
          <w:rFonts w:ascii="Calibri" w:hAnsi="Calibri" w:cs="Calibri" w:eastAsia="Calibri"/>
          <w:b w:val="0"/>
          <w:i w:val="0"/>
          <w:sz w:val="22"/>
        </w:rPr>
        <w:t>Run before a model can be promoted from Staging to Production. Examples: AUC must exceed threshold, KS must exceed threshold, fairness disparity across protected classes must stay within bounds, drift indicators vs the previous Production model must be acceptable. If any contract fails, promotion is blocked. Provides the auditable evidence that model risk teams require.</w:t>
      </w:r>
    </w:p>
    <w:p>
      <w:pPr>
        <w:spacing w:before="360" w:after="120"/>
        <w:pBdr>
          <w:bottom w:val="single" w:sz="8" w:space="1" w:color="1F3864"/>
        </w:pBdr>
      </w:pPr>
      <w:r>
        <w:rPr>
          <w:rFonts w:ascii="Calibri" w:hAnsi="Calibri" w:cs="Calibri" w:eastAsia="Calibri"/>
          <w:b/>
          <w:i w:val="0"/>
          <w:color w:val="1F3864"/>
          <w:sz w:val="32"/>
        </w:rPr>
        <w:t>8.  Drift, Monitoring, and the Feedback Loop</w:t>
      </w:r>
    </w:p>
    <w:p>
      <w:pPr>
        <w:spacing w:before="0" w:after="80"/>
      </w:pPr>
      <w:r>
        <w:rPr>
          <w:rFonts w:ascii="Calibri" w:hAnsi="Calibri" w:cs="Calibri" w:eastAsia="Calibri"/>
          <w:b w:val="0"/>
          <w:i w:val="0"/>
          <w:sz w:val="22"/>
        </w:rPr>
        <w:t>Models degrade over time. The discipline of monitoring is what closes the production loop and triggers retrains or code changes when degradation is detected.</w:t>
      </w:r>
    </w:p>
    <w:p>
      <w:pPr>
        <w:spacing w:before="200" w:after="40"/>
      </w:pPr>
      <w:r>
        <w:rPr>
          <w:rFonts w:ascii="Calibri" w:hAnsi="Calibri" w:cs="Calibri" w:eastAsia="Calibri"/>
          <w:b/>
          <w:i w:val="0"/>
          <w:color w:val="1F3864"/>
          <w:sz w:val="24"/>
        </w:rPr>
        <w:t>Types of drift</w:t>
      </w:r>
    </w:p>
    <w:p>
      <w:pPr>
        <w:pStyle w:val="ListBullet"/>
        <w:spacing w:before="0" w:after="40"/>
        <w:ind w:left="360"/>
      </w:pPr>
      <w:r>
        <w:rPr>
          <w:rFonts w:ascii="Calibri" w:hAnsi="Calibri" w:cs="Calibri" w:eastAsia="Calibri"/>
          <w:b/>
          <w:i w:val="0"/>
          <w:sz w:val="22"/>
        </w:rPr>
        <w:t>Data drift (covariate shift):</w:t>
      </w:r>
      <w:r>
        <w:rPr>
          <w:rFonts w:ascii="Calibri" w:hAnsi="Calibri" w:cs="Calibri" w:eastAsia="Calibri"/>
          <w:b w:val="0"/>
          <w:i w:val="0"/>
          <w:sz w:val="22"/>
        </w:rPr>
        <w:t xml:space="preserve"> input distributions change. Income rises 10% across the population; the "high income" feature now means something different.</w:t>
      </w:r>
    </w:p>
    <w:p>
      <w:pPr>
        <w:pStyle w:val="ListBullet"/>
        <w:spacing w:before="0" w:after="40"/>
        <w:ind w:left="360"/>
      </w:pPr>
      <w:r>
        <w:rPr>
          <w:rFonts w:ascii="Calibri" w:hAnsi="Calibri" w:cs="Calibri" w:eastAsia="Calibri"/>
          <w:b/>
          <w:i w:val="0"/>
          <w:sz w:val="22"/>
        </w:rPr>
        <w:t>Concept drift:</w:t>
      </w:r>
      <w:r>
        <w:rPr>
          <w:rFonts w:ascii="Calibri" w:hAnsi="Calibri" w:cs="Calibri" w:eastAsia="Calibri"/>
          <w:b w:val="0"/>
          <w:i w:val="0"/>
          <w:sz w:val="22"/>
        </w:rPr>
        <w:t xml:space="preserve"> the relationship between features and target changes. People with a particular profile used to be good repayers; after a recession, they are not.</w:t>
      </w:r>
    </w:p>
    <w:p>
      <w:pPr>
        <w:pStyle w:val="ListBullet"/>
        <w:spacing w:before="0" w:after="40"/>
        <w:ind w:left="360"/>
      </w:pPr>
      <w:r>
        <w:rPr>
          <w:rFonts w:ascii="Calibri" w:hAnsi="Calibri" w:cs="Calibri" w:eastAsia="Calibri"/>
          <w:b/>
          <w:i w:val="0"/>
          <w:sz w:val="22"/>
        </w:rPr>
        <w:t>Label drift:</w:t>
      </w:r>
      <w:r>
        <w:rPr>
          <w:rFonts w:ascii="Calibri" w:hAnsi="Calibri" w:cs="Calibri" w:eastAsia="Calibri"/>
          <w:b w:val="0"/>
          <w:i w:val="0"/>
          <w:sz w:val="22"/>
        </w:rPr>
        <w:t xml:space="preserve"> the distribution of the target itself changes. Bad rate climbs from 24% to 35% during a downturn.</w:t>
      </w:r>
    </w:p>
    <w:p>
      <w:pPr>
        <w:pStyle w:val="ListBullet"/>
        <w:spacing w:before="0" w:after="40"/>
        <w:ind w:left="360"/>
      </w:pPr>
      <w:r>
        <w:rPr>
          <w:rFonts w:ascii="Calibri" w:hAnsi="Calibri" w:cs="Calibri" w:eastAsia="Calibri"/>
          <w:b/>
          <w:i w:val="0"/>
          <w:sz w:val="22"/>
        </w:rPr>
        <w:t>Performance drift:</w:t>
      </w:r>
      <w:r>
        <w:rPr>
          <w:rFonts w:ascii="Calibri" w:hAnsi="Calibri" w:cs="Calibri" w:eastAsia="Calibri"/>
          <w:b w:val="0"/>
          <w:i w:val="0"/>
          <w:sz w:val="22"/>
        </w:rPr>
        <w:t xml:space="preserve"> model accuracy degrades because of any of the above.</w:t>
      </w:r>
    </w:p>
    <w:p>
      <w:pPr>
        <w:spacing w:before="200" w:after="40"/>
      </w:pPr>
      <w:r>
        <w:rPr>
          <w:rFonts w:ascii="Calibri" w:hAnsi="Calibri" w:cs="Calibri" w:eastAsia="Calibri"/>
          <w:b/>
          <w:i w:val="0"/>
          <w:color w:val="1F3864"/>
          <w:sz w:val="24"/>
        </w:rPr>
        <w:t>Detection metrics</w:t>
      </w:r>
    </w:p>
    <w:p>
      <w:pPr>
        <w:pStyle w:val="ListBullet"/>
        <w:spacing w:before="0" w:after="40"/>
        <w:ind w:left="360"/>
      </w:pPr>
      <w:r>
        <w:rPr>
          <w:rFonts w:ascii="Calibri" w:hAnsi="Calibri" w:cs="Calibri" w:eastAsia="Calibri"/>
          <w:b/>
          <w:i w:val="0"/>
          <w:sz w:val="22"/>
        </w:rPr>
        <w:t>Population Stability Index (PSI):</w:t>
      </w:r>
      <w:r>
        <w:rPr>
          <w:rFonts w:ascii="Calibri" w:hAnsi="Calibri" w:cs="Calibri" w:eastAsia="Calibri"/>
          <w:b w:val="0"/>
          <w:i w:val="0"/>
          <w:sz w:val="22"/>
        </w:rPr>
        <w:t xml:space="preserve"> standard for data drift. Measures the distance between the training distribution and the live distribution of a feature.</w:t>
      </w:r>
    </w:p>
    <w:p>
      <w:pPr>
        <w:pStyle w:val="ListBullet"/>
        <w:spacing w:before="0" w:after="40"/>
        <w:ind w:left="360"/>
      </w:pPr>
      <w:r>
        <w:rPr>
          <w:rFonts w:ascii="Calibri" w:hAnsi="Calibri" w:cs="Calibri" w:eastAsia="Calibri"/>
          <w:b/>
          <w:i w:val="0"/>
          <w:sz w:val="22"/>
        </w:rPr>
        <w:t>Rolling AUC / Gini against actuals:</w:t>
      </w:r>
      <w:r>
        <w:rPr>
          <w:rFonts w:ascii="Calibri" w:hAnsi="Calibri" w:cs="Calibri" w:eastAsia="Calibri"/>
          <w:b w:val="0"/>
          <w:i w:val="0"/>
          <w:sz w:val="22"/>
        </w:rPr>
        <w:t xml:space="preserve"> standard for performance drift, once outcome labels are available (typically with a delay).</w:t>
      </w:r>
    </w:p>
    <w:p>
      <w:pPr>
        <w:pStyle w:val="ListBullet"/>
        <w:spacing w:before="0" w:after="40"/>
        <w:ind w:left="360"/>
      </w:pPr>
      <w:r>
        <w:rPr>
          <w:rFonts w:ascii="Calibri" w:hAnsi="Calibri" w:cs="Calibri" w:eastAsia="Calibri"/>
          <w:b/>
          <w:i w:val="0"/>
          <w:sz w:val="22"/>
        </w:rPr>
        <w:t>KS statistic and KL divergence:</w:t>
      </w:r>
      <w:r>
        <w:rPr>
          <w:rFonts w:ascii="Calibri" w:hAnsi="Calibri" w:cs="Calibri" w:eastAsia="Calibri"/>
          <w:b w:val="0"/>
          <w:i w:val="0"/>
          <w:sz w:val="22"/>
        </w:rPr>
        <w:t xml:space="preserve"> alternatives or complements to PSI for distributional comparison.</w:t>
      </w:r>
    </w:p>
    <w:p>
      <w:pPr>
        <w:spacing w:before="200" w:after="40"/>
      </w:pPr>
      <w:r>
        <w:rPr>
          <w:rFonts w:ascii="Calibri" w:hAnsi="Calibri" w:cs="Calibri" w:eastAsia="Calibri"/>
          <w:b/>
          <w:i w:val="0"/>
          <w:color w:val="1F3864"/>
          <w:sz w:val="24"/>
        </w:rPr>
        <w:t>Closing the loop</w:t>
      </w:r>
    </w:p>
    <w:p>
      <w:pPr>
        <w:spacing w:before="0" w:after="80"/>
      </w:pPr>
      <w:r>
        <w:rPr>
          <w:rFonts w:ascii="Calibri" w:hAnsi="Calibri" w:cs="Calibri" w:eastAsia="Calibri"/>
          <w:b w:val="0"/>
          <w:i w:val="0"/>
          <w:sz w:val="22"/>
        </w:rPr>
        <w:t>When monitoring detects degradation, the response routes to one of the three cadence loops:</w:t>
      </w:r>
    </w:p>
    <w:p>
      <w:pPr>
        <w:pStyle w:val="ListBullet"/>
        <w:spacing w:before="0" w:after="40"/>
        <w:ind w:left="360"/>
      </w:pPr>
      <w:r>
        <w:rPr>
          <w:rFonts w:ascii="Calibri" w:hAnsi="Calibri" w:cs="Calibri" w:eastAsia="Calibri"/>
          <w:b/>
          <w:i w:val="0"/>
          <w:sz w:val="22"/>
        </w:rPr>
        <w:t>Data drift, no concept shift:</w:t>
      </w:r>
      <w:r>
        <w:rPr>
          <w:rFonts w:ascii="Calibri" w:hAnsi="Calibri" w:cs="Calibri" w:eastAsia="Calibri"/>
          <w:b w:val="0"/>
          <w:i w:val="0"/>
          <w:sz w:val="22"/>
        </w:rPr>
        <w:t xml:space="preserve"> trigger an out-of-cycle retrain. Same code, fresh data. Weekly loop.</w:t>
      </w:r>
    </w:p>
    <w:p>
      <w:pPr>
        <w:pStyle w:val="ListBullet"/>
        <w:spacing w:before="0" w:after="40"/>
        <w:ind w:left="360"/>
      </w:pPr>
      <w:r>
        <w:rPr>
          <w:rFonts w:ascii="Calibri" w:hAnsi="Calibri" w:cs="Calibri" w:eastAsia="Calibri"/>
          <w:b/>
          <w:i w:val="0"/>
          <w:sz w:val="22"/>
        </w:rPr>
        <w:t>Concept drift or persistent performance loss:</w:t>
      </w:r>
      <w:r>
        <w:rPr>
          <w:rFonts w:ascii="Calibri" w:hAnsi="Calibri" w:cs="Calibri" w:eastAsia="Calibri"/>
          <w:b w:val="0"/>
          <w:i w:val="0"/>
          <w:sz w:val="22"/>
        </w:rPr>
        <w:t xml:space="preserve"> investigation required. Code changes likely. Monthly loop.</w:t>
      </w:r>
    </w:p>
    <w:p>
      <w:pPr>
        <w:pStyle w:val="ListBullet"/>
        <w:spacing w:before="0" w:after="40"/>
        <w:ind w:left="360"/>
      </w:pPr>
      <w:r>
        <w:rPr>
          <w:rFonts w:ascii="Calibri" w:hAnsi="Calibri" w:cs="Calibri" w:eastAsia="Calibri"/>
          <w:b/>
          <w:i w:val="0"/>
          <w:sz w:val="22"/>
        </w:rPr>
        <w:t>Systemic issues (vendor changes, regulatory shifts):</w:t>
      </w:r>
      <w:r>
        <w:rPr>
          <w:rFonts w:ascii="Calibri" w:hAnsi="Calibri" w:cs="Calibri" w:eastAsia="Calibri"/>
          <w:b w:val="0"/>
          <w:i w:val="0"/>
          <w:sz w:val="22"/>
        </w:rPr>
        <w:t xml:space="preserve"> architecture-level response. Quarterly loop.</w:t>
      </w:r>
    </w:p>
    <w:p>
      <w:pPr>
        <w:spacing w:before="360" w:after="120"/>
        <w:pBdr>
          <w:bottom w:val="single" w:sz="8" w:space="1" w:color="1F3864"/>
        </w:pBdr>
      </w:pPr>
      <w:r>
        <w:rPr>
          <w:rFonts w:ascii="Calibri" w:hAnsi="Calibri" w:cs="Calibri" w:eastAsia="Calibri"/>
          <w:b/>
          <w:i w:val="0"/>
          <w:color w:val="1F3864"/>
          <w:sz w:val="32"/>
        </w:rPr>
        <w:t>9.  The Code-versus-Model Distinction</w:t>
      </w:r>
    </w:p>
    <w:p>
      <w:pPr>
        <w:spacing w:before="0" w:after="80"/>
      </w:pPr>
      <w:r>
        <w:rPr>
          <w:rFonts w:ascii="Calibri" w:hAnsi="Calibri" w:cs="Calibri" w:eastAsia="Calibri"/>
          <w:b w:val="0"/>
          <w:i w:val="0"/>
          <w:sz w:val="22"/>
        </w:rPr>
        <w:t>The most interview-load-bearing concept in this document. Internalising this distinction is what separates engineers who have operated production ML systems from those who have only worked in research.</w:t>
      </w:r>
    </w:p>
    <w:tbl>
      <w:tblPr>
        <w:tblStyle w:val="LightGrid-Accent1"/>
        <w:tblW w:type="auto" w:w="0"/>
        <w:tblLook w:firstColumn="1" w:firstRow="1" w:lastColumn="0" w:lastRow="0" w:noHBand="0" w:noVBand="1" w:val="04A0"/>
      </w:tblPr>
      <w:tblGrid>
        <w:gridCol w:w="3312"/>
        <w:gridCol w:w="3312"/>
        <w:gridCol w:w="3312"/>
      </w:tblGrid>
      <w:tr>
        <w:tc>
          <w:tcPr>
            <w:tcW w:type="dxa" w:w="2016"/>
            <w:shd w:val="clear" w:color="auto" w:fill="1F3864"/>
            <w:vAlign w:val="center"/>
          </w:tcPr>
          <w:p>
            <w:pPr>
              <w:jc w:val="left"/>
            </w:pPr>
            <w:r/>
            <w:r>
              <w:rPr>
                <w:rFonts w:ascii="Calibri" w:hAnsi="Calibri" w:cs="Calibri" w:eastAsia="Calibri"/>
                <w:b/>
                <w:i w:val="0"/>
                <w:color w:val="FFFFFF"/>
                <w:sz w:val="22"/>
              </w:rPr>
              <w:t>Aspect</w:t>
            </w:r>
          </w:p>
        </w:tc>
        <w:tc>
          <w:tcPr>
            <w:tcW w:type="dxa" w:w="4320"/>
            <w:shd w:val="clear" w:color="auto" w:fill="1F3864"/>
            <w:vAlign w:val="center"/>
          </w:tcPr>
          <w:p>
            <w:pPr>
              <w:jc w:val="left"/>
            </w:pPr>
            <w:r/>
            <w:r>
              <w:rPr>
                <w:rFonts w:ascii="Calibri" w:hAnsi="Calibri" w:cs="Calibri" w:eastAsia="Calibri"/>
                <w:b/>
                <w:i w:val="0"/>
                <w:color w:val="FFFFFF"/>
                <w:sz w:val="22"/>
              </w:rPr>
              <w:t>Code</w:t>
            </w:r>
          </w:p>
        </w:tc>
        <w:tc>
          <w:tcPr>
            <w:tcW w:type="dxa" w:w="4032"/>
            <w:shd w:val="clear" w:color="auto" w:fill="1F3864"/>
            <w:vAlign w:val="center"/>
          </w:tcPr>
          <w:p>
            <w:pPr>
              <w:jc w:val="left"/>
            </w:pPr>
            <w:r/>
            <w:r>
              <w:rPr>
                <w:rFonts w:ascii="Calibri" w:hAnsi="Calibri" w:cs="Calibri" w:eastAsia="Calibri"/>
                <w:b/>
                <w:i w:val="0"/>
                <w:color w:val="FFFFFF"/>
                <w:sz w:val="22"/>
              </w:rPr>
              <w:t>Model</w:t>
            </w:r>
          </w:p>
        </w:tc>
      </w:tr>
      <w:tr>
        <w:tc>
          <w:tcPr>
            <w:tcW w:type="dxa" w:w="2016"/>
            <w:vAlign w:val="top"/>
          </w:tcPr>
          <w:p>
            <w:r/>
            <w:r>
              <w:rPr>
                <w:rFonts w:ascii="Calibri" w:hAnsi="Calibri" w:cs="Calibri" w:eastAsia="Calibri"/>
                <w:b w:val="0"/>
                <w:i w:val="0"/>
                <w:sz w:val="21"/>
              </w:rPr>
              <w:t>What it is</w:t>
            </w:r>
          </w:p>
        </w:tc>
        <w:tc>
          <w:tcPr>
            <w:tcW w:type="dxa" w:w="4320"/>
            <w:vAlign w:val="top"/>
          </w:tcPr>
          <w:p>
            <w:r/>
            <w:r>
              <w:rPr>
                <w:rFonts w:ascii="Calibri" w:hAnsi="Calibri" w:cs="Calibri" w:eastAsia="Calibri"/>
                <w:b w:val="0"/>
                <w:i w:val="0"/>
                <w:sz w:val="21"/>
              </w:rPr>
              <w:t>Python files, configs, infrastructure-as-code.</w:t>
            </w:r>
          </w:p>
        </w:tc>
        <w:tc>
          <w:tcPr>
            <w:tcW w:type="dxa" w:w="4032"/>
            <w:vAlign w:val="top"/>
          </w:tcPr>
          <w:p>
            <w:r/>
            <w:r>
              <w:rPr>
                <w:rFonts w:ascii="Calibri" w:hAnsi="Calibri" w:cs="Calibri" w:eastAsia="Calibri"/>
                <w:b w:val="0"/>
                <w:i w:val="0"/>
                <w:sz w:val="21"/>
              </w:rPr>
              <w:t>Trained binary artefact (weights, fitted preprocessors, metadata).</w:t>
            </w:r>
          </w:p>
        </w:tc>
      </w:tr>
      <w:tr>
        <w:tc>
          <w:tcPr>
            <w:tcW w:type="dxa" w:w="2016"/>
            <w:vAlign w:val="top"/>
          </w:tcPr>
          <w:p>
            <w:r/>
            <w:r>
              <w:rPr>
                <w:rFonts w:ascii="Calibri" w:hAnsi="Calibri" w:cs="Calibri" w:eastAsia="Calibri"/>
                <w:b w:val="0"/>
                <w:i w:val="0"/>
                <w:sz w:val="21"/>
              </w:rPr>
              <w:t>Where it lives</w:t>
            </w:r>
          </w:p>
        </w:tc>
        <w:tc>
          <w:tcPr>
            <w:tcW w:type="dxa" w:w="4320"/>
            <w:vAlign w:val="top"/>
          </w:tcPr>
          <w:p>
            <w:r/>
            <w:r>
              <w:rPr>
                <w:rFonts w:ascii="Calibri" w:hAnsi="Calibri" w:cs="Calibri" w:eastAsia="Calibri"/>
                <w:b w:val="0"/>
                <w:i w:val="0"/>
                <w:sz w:val="21"/>
              </w:rPr>
              <w:t>Git repository (committed history).</w:t>
            </w:r>
          </w:p>
        </w:tc>
        <w:tc>
          <w:tcPr>
            <w:tcW w:type="dxa" w:w="4032"/>
            <w:vAlign w:val="top"/>
          </w:tcPr>
          <w:p>
            <w:r/>
            <w:r>
              <w:rPr>
                <w:rFonts w:ascii="Calibri" w:hAnsi="Calibri" w:cs="Calibri" w:eastAsia="Calibri"/>
                <w:b w:val="0"/>
                <w:i w:val="0"/>
                <w:sz w:val="21"/>
              </w:rPr>
              <w:t>Model registry (versioned, staged).</w:t>
            </w:r>
          </w:p>
        </w:tc>
      </w:tr>
      <w:tr>
        <w:tc>
          <w:tcPr>
            <w:tcW w:type="dxa" w:w="2016"/>
            <w:vAlign w:val="top"/>
          </w:tcPr>
          <w:p>
            <w:r/>
            <w:r>
              <w:rPr>
                <w:rFonts w:ascii="Calibri" w:hAnsi="Calibri" w:cs="Calibri" w:eastAsia="Calibri"/>
                <w:b w:val="0"/>
                <w:i w:val="0"/>
                <w:sz w:val="21"/>
              </w:rPr>
              <w:t>Who creates it</w:t>
            </w:r>
          </w:p>
        </w:tc>
        <w:tc>
          <w:tcPr>
            <w:tcW w:type="dxa" w:w="4320"/>
            <w:vAlign w:val="top"/>
          </w:tcPr>
          <w:p>
            <w:r/>
            <w:r>
              <w:rPr>
                <w:rFonts w:ascii="Calibri" w:hAnsi="Calibri" w:cs="Calibri" w:eastAsia="Calibri"/>
                <w:b w:val="0"/>
                <w:i w:val="0"/>
                <w:sz w:val="21"/>
              </w:rPr>
              <w:t>Data scientist or ML engineer (PRs).</w:t>
            </w:r>
          </w:p>
        </w:tc>
        <w:tc>
          <w:tcPr>
            <w:tcW w:type="dxa" w:w="4032"/>
            <w:vAlign w:val="top"/>
          </w:tcPr>
          <w:p>
            <w:r/>
            <w:r>
              <w:rPr>
                <w:rFonts w:ascii="Calibri" w:hAnsi="Calibri" w:cs="Calibri" w:eastAsia="Calibri"/>
                <w:b w:val="0"/>
                <w:i w:val="0"/>
                <w:sz w:val="21"/>
              </w:rPr>
              <w:t>Training pipeline, automatically, when run.</w:t>
            </w:r>
          </w:p>
        </w:tc>
      </w:tr>
      <w:tr>
        <w:tc>
          <w:tcPr>
            <w:tcW w:type="dxa" w:w="2016"/>
            <w:vAlign w:val="top"/>
          </w:tcPr>
          <w:p>
            <w:r/>
            <w:r>
              <w:rPr>
                <w:rFonts w:ascii="Calibri" w:hAnsi="Calibri" w:cs="Calibri" w:eastAsia="Calibri"/>
                <w:b w:val="0"/>
                <w:i w:val="0"/>
                <w:sz w:val="21"/>
              </w:rPr>
              <w:t>How it changes</w:t>
            </w:r>
          </w:p>
        </w:tc>
        <w:tc>
          <w:tcPr>
            <w:tcW w:type="dxa" w:w="4320"/>
            <w:vAlign w:val="top"/>
          </w:tcPr>
          <w:p>
            <w:r/>
            <w:r>
              <w:rPr>
                <w:rFonts w:ascii="Calibri" w:hAnsi="Calibri" w:cs="Calibri" w:eastAsia="Calibri"/>
                <w:b w:val="0"/>
                <w:i w:val="0"/>
                <w:sz w:val="21"/>
              </w:rPr>
              <w:t>Pull request → review → merge.</w:t>
            </w:r>
          </w:p>
        </w:tc>
        <w:tc>
          <w:tcPr>
            <w:tcW w:type="dxa" w:w="4032"/>
            <w:vAlign w:val="top"/>
          </w:tcPr>
          <w:p>
            <w:r/>
            <w:r>
              <w:rPr>
                <w:rFonts w:ascii="Calibri" w:hAnsi="Calibri" w:cs="Calibri" w:eastAsia="Calibri"/>
                <w:b w:val="0"/>
                <w:i w:val="0"/>
                <w:sz w:val="21"/>
              </w:rPr>
              <w:t>New training run produces a new version.</w:t>
            </w:r>
          </w:p>
        </w:tc>
      </w:tr>
      <w:tr>
        <w:tc>
          <w:tcPr>
            <w:tcW w:type="dxa" w:w="2016"/>
            <w:vAlign w:val="top"/>
          </w:tcPr>
          <w:p>
            <w:r/>
            <w:r>
              <w:rPr>
                <w:rFonts w:ascii="Calibri" w:hAnsi="Calibri" w:cs="Calibri" w:eastAsia="Calibri"/>
                <w:b w:val="0"/>
                <w:i w:val="0"/>
                <w:sz w:val="21"/>
              </w:rPr>
              <w:t>How it deploys</w:t>
            </w:r>
          </w:p>
        </w:tc>
        <w:tc>
          <w:tcPr>
            <w:tcW w:type="dxa" w:w="4320"/>
            <w:vAlign w:val="top"/>
          </w:tcPr>
          <w:p>
            <w:r/>
            <w:r>
              <w:rPr>
                <w:rFonts w:ascii="Calibri" w:hAnsi="Calibri" w:cs="Calibri" w:eastAsia="Calibri"/>
                <w:b w:val="0"/>
                <w:i w:val="0"/>
                <w:sz w:val="21"/>
              </w:rPr>
              <w:t>Docker image rebuild, container restart.</w:t>
            </w:r>
          </w:p>
        </w:tc>
        <w:tc>
          <w:tcPr>
            <w:tcW w:type="dxa" w:w="4032"/>
            <w:vAlign w:val="top"/>
          </w:tcPr>
          <w:p>
            <w:r/>
            <w:r>
              <w:rPr>
                <w:rFonts w:ascii="Calibri" w:hAnsi="Calibri" w:cs="Calibri" w:eastAsia="Calibri"/>
                <w:b w:val="0"/>
                <w:i w:val="0"/>
                <w:sz w:val="21"/>
              </w:rPr>
              <w:t>Promotion in registry from Staging to Production.</w:t>
            </w:r>
          </w:p>
        </w:tc>
      </w:tr>
      <w:tr>
        <w:tc>
          <w:tcPr>
            <w:tcW w:type="dxa" w:w="2016"/>
            <w:vAlign w:val="top"/>
          </w:tcPr>
          <w:p>
            <w:r/>
            <w:r>
              <w:rPr>
                <w:rFonts w:ascii="Calibri" w:hAnsi="Calibri" w:cs="Calibri" w:eastAsia="Calibri"/>
                <w:b w:val="0"/>
                <w:i w:val="0"/>
                <w:sz w:val="21"/>
              </w:rPr>
              <w:t>Cadence</w:t>
            </w:r>
          </w:p>
        </w:tc>
        <w:tc>
          <w:tcPr>
            <w:tcW w:type="dxa" w:w="4320"/>
            <w:vAlign w:val="top"/>
          </w:tcPr>
          <w:p>
            <w:r/>
            <w:r>
              <w:rPr>
                <w:rFonts w:ascii="Calibri" w:hAnsi="Calibri" w:cs="Calibri" w:eastAsia="Calibri"/>
                <w:b w:val="0"/>
                <w:i w:val="0"/>
                <w:sz w:val="21"/>
              </w:rPr>
              <w:t>Monthly (typical).</w:t>
            </w:r>
          </w:p>
        </w:tc>
        <w:tc>
          <w:tcPr>
            <w:tcW w:type="dxa" w:w="4032"/>
            <w:vAlign w:val="top"/>
          </w:tcPr>
          <w:p>
            <w:r/>
            <w:r>
              <w:rPr>
                <w:rFonts w:ascii="Calibri" w:hAnsi="Calibri" w:cs="Calibri" w:eastAsia="Calibri"/>
                <w:b w:val="0"/>
                <w:i w:val="0"/>
                <w:sz w:val="21"/>
              </w:rPr>
              <w:t>Weekly (typical).</w:t>
            </w:r>
          </w:p>
        </w:tc>
      </w:tr>
      <w:tr>
        <w:tc>
          <w:tcPr>
            <w:tcW w:type="dxa" w:w="2016"/>
            <w:vAlign w:val="top"/>
          </w:tcPr>
          <w:p>
            <w:r/>
            <w:r>
              <w:rPr>
                <w:rFonts w:ascii="Calibri" w:hAnsi="Calibri" w:cs="Calibri" w:eastAsia="Calibri"/>
                <w:b w:val="0"/>
                <w:i w:val="0"/>
                <w:sz w:val="21"/>
              </w:rPr>
              <w:t>Rollback</w:t>
            </w:r>
          </w:p>
        </w:tc>
        <w:tc>
          <w:tcPr>
            <w:tcW w:type="dxa" w:w="4320"/>
            <w:vAlign w:val="top"/>
          </w:tcPr>
          <w:p>
            <w:r/>
            <w:r>
              <w:rPr>
                <w:rFonts w:ascii="Calibri" w:hAnsi="Calibri" w:cs="Calibri" w:eastAsia="Calibri"/>
                <w:b w:val="0"/>
                <w:i w:val="0"/>
                <w:sz w:val="21"/>
              </w:rPr>
              <w:t>Revert commit, redeploy.</w:t>
            </w:r>
          </w:p>
        </w:tc>
        <w:tc>
          <w:tcPr>
            <w:tcW w:type="dxa" w:w="4032"/>
            <w:vAlign w:val="top"/>
          </w:tcPr>
          <w:p>
            <w:r/>
            <w:r>
              <w:rPr>
                <w:rFonts w:ascii="Calibri" w:hAnsi="Calibri" w:cs="Calibri" w:eastAsia="Calibri"/>
                <w:b w:val="0"/>
                <w:i w:val="0"/>
                <w:sz w:val="21"/>
              </w:rPr>
              <w:t>Promote previous version back to Production.</w:t>
            </w:r>
          </w:p>
        </w:tc>
      </w:tr>
    </w:tbl>
    <w:p>
      <w:pPr>
        <w:spacing w:before="120" w:after="80"/>
      </w:pPr>
      <w:r>
        <w:rPr>
          <w:rFonts w:ascii="Calibri" w:hAnsi="Calibri" w:cs="Calibri" w:eastAsia="Calibri"/>
          <w:b w:val="0"/>
          <w:i w:val="0"/>
          <w:sz w:val="22"/>
        </w:rPr>
        <w:t>When a hiring manager probes the difference between a model lifecycle and a code lifecycle, the answer that signals senior-engineer thinking is: "Code lives in git and changes through PRs; models live in the registry and change through training runs. They version independently, deploy independently, and roll back independently. The registry is the contract that connects them."</w:t>
      </w:r>
    </w:p>
    <w:p>
      <w:pPr>
        <w:spacing w:before="360" w:after="120"/>
        <w:pBdr>
          <w:bottom w:val="single" w:sz="8" w:space="1" w:color="1F3864"/>
        </w:pBdr>
      </w:pPr>
      <w:r>
        <w:rPr>
          <w:rFonts w:ascii="Calibri" w:hAnsi="Calibri" w:cs="Calibri" w:eastAsia="Calibri"/>
          <w:b/>
          <w:i w:val="0"/>
          <w:color w:val="1F3864"/>
          <w:sz w:val="32"/>
        </w:rPr>
        <w:t>10.  Mapping to the Credit Pipeline Project</w:t>
      </w:r>
    </w:p>
    <w:p>
      <w:pPr>
        <w:spacing w:before="0" w:after="80"/>
      </w:pPr>
      <w:r>
        <w:rPr>
          <w:rFonts w:ascii="Calibri" w:hAnsi="Calibri" w:cs="Calibri" w:eastAsia="Calibri"/>
          <w:b w:val="0"/>
          <w:i w:val="0"/>
          <w:sz w:val="22"/>
        </w:rPr>
        <w:t>The eight-phase production rebuild of the credit pipeline maps onto specific architectural concepts. This is the value of the project for CV and interview purposes — every phase exercises a specific production-engineering capability.</w:t>
      </w:r>
    </w:p>
    <w:tbl>
      <w:tblPr>
        <w:tblStyle w:val="LightGrid-Accent1"/>
        <w:tblW w:type="auto" w:w="0"/>
        <w:tblLook w:firstColumn="1" w:firstRow="1" w:lastColumn="0" w:lastRow="0" w:noHBand="0" w:noVBand="1" w:val="04A0"/>
      </w:tblPr>
      <w:tblGrid>
        <w:gridCol w:w="3312"/>
        <w:gridCol w:w="3312"/>
        <w:gridCol w:w="3312"/>
      </w:tblGrid>
      <w:tr>
        <w:tc>
          <w:tcPr>
            <w:tcW w:type="dxa" w:w="720"/>
            <w:shd w:val="clear" w:color="auto" w:fill="1F3864"/>
            <w:vAlign w:val="center"/>
          </w:tcPr>
          <w:p>
            <w:pPr>
              <w:jc w:val="left"/>
            </w:pPr>
            <w:r/>
            <w:r>
              <w:rPr>
                <w:rFonts w:ascii="Calibri" w:hAnsi="Calibri" w:cs="Calibri" w:eastAsia="Calibri"/>
                <w:b/>
                <w:i w:val="0"/>
                <w:color w:val="FFFFFF"/>
                <w:sz w:val="22"/>
              </w:rPr>
              <w:t>Phase</w:t>
            </w:r>
          </w:p>
        </w:tc>
        <w:tc>
          <w:tcPr>
            <w:tcW w:type="dxa" w:w="4896"/>
            <w:shd w:val="clear" w:color="auto" w:fill="1F3864"/>
            <w:vAlign w:val="center"/>
          </w:tcPr>
          <w:p>
            <w:pPr>
              <w:jc w:val="left"/>
            </w:pPr>
            <w:r/>
            <w:r>
              <w:rPr>
                <w:rFonts w:ascii="Calibri" w:hAnsi="Calibri" w:cs="Calibri" w:eastAsia="Calibri"/>
                <w:b/>
                <w:i w:val="0"/>
                <w:color w:val="FFFFFF"/>
                <w:sz w:val="22"/>
              </w:rPr>
              <w:t>Built</w:t>
            </w:r>
          </w:p>
        </w:tc>
        <w:tc>
          <w:tcPr>
            <w:tcW w:type="dxa" w:w="4752"/>
            <w:shd w:val="clear" w:color="auto" w:fill="1F3864"/>
            <w:vAlign w:val="center"/>
          </w:tcPr>
          <w:p>
            <w:pPr>
              <w:jc w:val="left"/>
            </w:pPr>
            <w:r/>
            <w:r>
              <w:rPr>
                <w:rFonts w:ascii="Calibri" w:hAnsi="Calibri" w:cs="Calibri" w:eastAsia="Calibri"/>
                <w:b/>
                <w:i w:val="0"/>
                <w:color w:val="FFFFFF"/>
                <w:sz w:val="22"/>
              </w:rPr>
              <w:t>Concept Demonstrated</w:t>
            </w:r>
          </w:p>
        </w:tc>
      </w:tr>
      <w:tr>
        <w:tc>
          <w:tcPr>
            <w:tcW w:type="dxa" w:w="720"/>
            <w:vAlign w:val="top"/>
          </w:tcPr>
          <w:p>
            <w:r/>
            <w:r>
              <w:rPr>
                <w:rFonts w:ascii="Calibri" w:hAnsi="Calibri" w:cs="Calibri" w:eastAsia="Calibri"/>
                <w:b w:val="0"/>
                <w:i w:val="0"/>
                <w:sz w:val="21"/>
              </w:rPr>
              <w:t>A</w:t>
            </w:r>
          </w:p>
        </w:tc>
        <w:tc>
          <w:tcPr>
            <w:tcW w:type="dxa" w:w="4896"/>
            <w:vAlign w:val="top"/>
          </w:tcPr>
          <w:p>
            <w:r/>
            <w:r>
              <w:rPr>
                <w:rFonts w:ascii="Calibri" w:hAnsi="Calibri" w:cs="Calibri" w:eastAsia="Calibri"/>
                <w:b w:val="0"/>
                <w:i w:val="0"/>
                <w:sz w:val="21"/>
              </w:rPr>
              <w:t>uv lockfile, pre-commit hooks, GitHub Actions CI, pydantic-settings, multi-stage Dockerfile.</w:t>
            </w:r>
          </w:p>
        </w:tc>
        <w:tc>
          <w:tcPr>
            <w:tcW w:type="dxa" w:w="4752"/>
            <w:vAlign w:val="top"/>
          </w:tcPr>
          <w:p>
            <w:r/>
            <w:r>
              <w:rPr>
                <w:rFonts w:ascii="Calibri" w:hAnsi="Calibri" w:cs="Calibri" w:eastAsia="Calibri"/>
                <w:b w:val="0"/>
                <w:i w:val="0"/>
                <w:sz w:val="21"/>
              </w:rPr>
              <w:t>Reproducible builds, automated quality gates.</w:t>
            </w:r>
          </w:p>
        </w:tc>
      </w:tr>
      <w:tr>
        <w:tc>
          <w:tcPr>
            <w:tcW w:type="dxa" w:w="720"/>
            <w:vAlign w:val="top"/>
          </w:tcPr>
          <w:p>
            <w:r/>
            <w:r>
              <w:rPr>
                <w:rFonts w:ascii="Calibri" w:hAnsi="Calibri" w:cs="Calibri" w:eastAsia="Calibri"/>
                <w:b w:val="0"/>
                <w:i w:val="0"/>
                <w:sz w:val="21"/>
              </w:rPr>
              <w:t>B</w:t>
            </w:r>
          </w:p>
        </w:tc>
        <w:tc>
          <w:tcPr>
            <w:tcW w:type="dxa" w:w="4896"/>
            <w:vAlign w:val="top"/>
          </w:tcPr>
          <w:p>
            <w:r/>
            <w:r>
              <w:rPr>
                <w:rFonts w:ascii="Calibri" w:hAnsi="Calibri" w:cs="Calibri" w:eastAsia="Calibri"/>
                <w:b w:val="0"/>
                <w:i w:val="0"/>
                <w:sz w:val="21"/>
              </w:rPr>
              <w:t>Containerised training pipeline running end-to-end inside Docker with mounted volumes.</w:t>
            </w:r>
          </w:p>
        </w:tc>
        <w:tc>
          <w:tcPr>
            <w:tcW w:type="dxa" w:w="4752"/>
            <w:vAlign w:val="top"/>
          </w:tcPr>
          <w:p>
            <w:r/>
            <w:r>
              <w:rPr>
                <w:rFonts w:ascii="Calibri" w:hAnsi="Calibri" w:cs="Calibri" w:eastAsia="Calibri"/>
                <w:b w:val="0"/>
                <w:i w:val="0"/>
                <w:sz w:val="21"/>
              </w:rPr>
              <w:t>Immutable infrastructure, container as deployment unit.</w:t>
            </w:r>
          </w:p>
        </w:tc>
      </w:tr>
      <w:tr>
        <w:tc>
          <w:tcPr>
            <w:tcW w:type="dxa" w:w="720"/>
            <w:vAlign w:val="top"/>
          </w:tcPr>
          <w:p>
            <w:r/>
            <w:r>
              <w:rPr>
                <w:rFonts w:ascii="Calibri" w:hAnsi="Calibri" w:cs="Calibri" w:eastAsia="Calibri"/>
                <w:b w:val="0"/>
                <w:i w:val="0"/>
                <w:sz w:val="21"/>
              </w:rPr>
              <w:t>C</w:t>
            </w:r>
          </w:p>
        </w:tc>
        <w:tc>
          <w:tcPr>
            <w:tcW w:type="dxa" w:w="4896"/>
            <w:vAlign w:val="top"/>
          </w:tcPr>
          <w:p>
            <w:r/>
            <w:r>
              <w:rPr>
                <w:rFonts w:ascii="Calibri" w:hAnsi="Calibri" w:cs="Calibri" w:eastAsia="Calibri"/>
                <w:b w:val="0"/>
                <w:i w:val="0"/>
                <w:sz w:val="21"/>
              </w:rPr>
              <w:t>DuckDB warehouse with raw / staging / marts schemas, ingestion-boundary data contract.</w:t>
            </w:r>
          </w:p>
        </w:tc>
        <w:tc>
          <w:tcPr>
            <w:tcW w:type="dxa" w:w="4752"/>
            <w:vAlign w:val="top"/>
          </w:tcPr>
          <w:p>
            <w:r/>
            <w:r>
              <w:rPr>
                <w:rFonts w:ascii="Calibri" w:hAnsi="Calibri" w:cs="Calibri" w:eastAsia="Calibri"/>
                <w:b w:val="0"/>
                <w:i w:val="0"/>
                <w:sz w:val="21"/>
              </w:rPr>
              <w:t>Medallion architecture, data contracts as first-class enforcement.</w:t>
            </w:r>
          </w:p>
        </w:tc>
      </w:tr>
      <w:tr>
        <w:tc>
          <w:tcPr>
            <w:tcW w:type="dxa" w:w="720"/>
            <w:vAlign w:val="top"/>
          </w:tcPr>
          <w:p>
            <w:r/>
            <w:r>
              <w:rPr>
                <w:rFonts w:ascii="Calibri" w:hAnsi="Calibri" w:cs="Calibri" w:eastAsia="Calibri"/>
                <w:b w:val="0"/>
                <w:i w:val="0"/>
                <w:sz w:val="21"/>
              </w:rPr>
              <w:t>D</w:t>
            </w:r>
          </w:p>
        </w:tc>
        <w:tc>
          <w:tcPr>
            <w:tcW w:type="dxa" w:w="4896"/>
            <w:vAlign w:val="top"/>
          </w:tcPr>
          <w:p>
            <w:r/>
            <w:r>
              <w:rPr>
                <w:rFonts w:ascii="Calibri" w:hAnsi="Calibri" w:cs="Calibri" w:eastAsia="Calibri"/>
                <w:b w:val="0"/>
                <w:i w:val="0"/>
                <w:sz w:val="21"/>
              </w:rPr>
              <w:t>MLflow tracking server in Docker Compose; training entry logs metrics, parameters, fitted models, SHAP plots; both models registered.</w:t>
            </w:r>
          </w:p>
        </w:tc>
        <w:tc>
          <w:tcPr>
            <w:tcW w:type="dxa" w:w="4752"/>
            <w:vAlign w:val="top"/>
          </w:tcPr>
          <w:p>
            <w:r/>
            <w:r>
              <w:rPr>
                <w:rFonts w:ascii="Calibri" w:hAnsi="Calibri" w:cs="Calibri" w:eastAsia="Calibri"/>
                <w:b w:val="0"/>
                <w:i w:val="0"/>
                <w:sz w:val="21"/>
              </w:rPr>
              <w:t>Experiment tracking, model registry, model lifecycle management.</w:t>
            </w:r>
          </w:p>
        </w:tc>
      </w:tr>
      <w:tr>
        <w:tc>
          <w:tcPr>
            <w:tcW w:type="dxa" w:w="720"/>
            <w:vAlign w:val="top"/>
          </w:tcPr>
          <w:p>
            <w:r/>
            <w:r>
              <w:rPr>
                <w:rFonts w:ascii="Calibri" w:hAnsi="Calibri" w:cs="Calibri" w:eastAsia="Calibri"/>
                <w:b w:val="0"/>
                <w:i w:val="0"/>
                <w:sz w:val="21"/>
              </w:rPr>
              <w:t>E</w:t>
            </w:r>
          </w:p>
        </w:tc>
        <w:tc>
          <w:tcPr>
            <w:tcW w:type="dxa" w:w="4896"/>
            <w:vAlign w:val="top"/>
          </w:tcPr>
          <w:p>
            <w:r/>
            <w:r>
              <w:rPr>
                <w:rFonts w:ascii="Calibri" w:hAnsi="Calibri" w:cs="Calibri" w:eastAsia="Calibri"/>
                <w:b w:val="0"/>
                <w:i w:val="0"/>
                <w:sz w:val="21"/>
              </w:rPr>
              <w:t>PySpark feature engineering pipeline with custom Estimator/Transformer pair (QuantileFlagger); fitted feature pipeline persisted as MLflow artefact.</w:t>
            </w:r>
          </w:p>
        </w:tc>
        <w:tc>
          <w:tcPr>
            <w:tcW w:type="dxa" w:w="4752"/>
            <w:vAlign w:val="top"/>
          </w:tcPr>
          <w:p>
            <w:r/>
            <w:r>
              <w:rPr>
                <w:rFonts w:ascii="Calibri" w:hAnsi="Calibri" w:cs="Calibri" w:eastAsia="Calibri"/>
                <w:b w:val="0"/>
                <w:i w:val="0"/>
                <w:sz w:val="21"/>
              </w:rPr>
              <w:t>Distributed feature engineering, leakage prevention by construction, fitted feature transformations as travelling artefacts.</w:t>
            </w:r>
          </w:p>
        </w:tc>
      </w:tr>
      <w:tr>
        <w:tc>
          <w:tcPr>
            <w:tcW w:type="dxa" w:w="720"/>
            <w:vAlign w:val="top"/>
          </w:tcPr>
          <w:p>
            <w:r/>
            <w:r>
              <w:rPr>
                <w:rFonts w:ascii="Calibri" w:hAnsi="Calibri" w:cs="Calibri" w:eastAsia="Calibri"/>
                <w:b w:val="0"/>
                <w:i w:val="0"/>
                <w:sz w:val="21"/>
              </w:rPr>
              <w:t>F</w:t>
            </w:r>
          </w:p>
        </w:tc>
        <w:tc>
          <w:tcPr>
            <w:tcW w:type="dxa" w:w="4896"/>
            <w:vAlign w:val="top"/>
          </w:tcPr>
          <w:p>
            <w:r/>
            <w:r>
              <w:rPr>
                <w:rFonts w:ascii="Calibri" w:hAnsi="Calibri" w:cs="Calibri" w:eastAsia="Calibri"/>
                <w:b w:val="0"/>
                <w:i w:val="0"/>
                <w:sz w:val="21"/>
              </w:rPr>
              <w:t>FastAPI scoring service with /v1/score, /healthz, /readyz, /metrics; SHAP-based reason codes; separate serving Docker image.</w:t>
            </w:r>
          </w:p>
        </w:tc>
        <w:tc>
          <w:tcPr>
            <w:tcW w:type="dxa" w:w="4752"/>
            <w:vAlign w:val="top"/>
          </w:tcPr>
          <w:p>
            <w:r/>
            <w:r>
              <w:rPr>
                <w:rFonts w:ascii="Calibri" w:hAnsi="Calibri" w:cs="Calibri" w:eastAsia="Calibri"/>
                <w:b w:val="0"/>
                <w:i w:val="0"/>
                <w:sz w:val="21"/>
              </w:rPr>
              <w:t>Real-time inference, API contracts, model export and reload, explainability for adverse action.</w:t>
            </w:r>
          </w:p>
        </w:tc>
      </w:tr>
      <w:tr>
        <w:tc>
          <w:tcPr>
            <w:tcW w:type="dxa" w:w="720"/>
            <w:vAlign w:val="top"/>
          </w:tcPr>
          <w:p>
            <w:r/>
            <w:r>
              <w:rPr>
                <w:rFonts w:ascii="Calibri" w:hAnsi="Calibri" w:cs="Calibri" w:eastAsia="Calibri"/>
                <w:b w:val="0"/>
                <w:i w:val="0"/>
                <w:sz w:val="21"/>
              </w:rPr>
              <w:t>G</w:t>
            </w:r>
          </w:p>
        </w:tc>
        <w:tc>
          <w:tcPr>
            <w:tcW w:type="dxa" w:w="4896"/>
            <w:vAlign w:val="top"/>
          </w:tcPr>
          <w:p>
            <w:r/>
            <w:r>
              <w:rPr>
                <w:rFonts w:ascii="Calibri" w:hAnsi="Calibri" w:cs="Calibri" w:eastAsia="Calibri"/>
                <w:b w:val="0"/>
                <w:i w:val="0"/>
                <w:sz w:val="21"/>
              </w:rPr>
              <w:t>Kubernetes deployment on minikube with Deployment, Service, Ingress, HPA, ConfigMap, Secret manifests.</w:t>
            </w:r>
          </w:p>
        </w:tc>
        <w:tc>
          <w:tcPr>
            <w:tcW w:type="dxa" w:w="4752"/>
            <w:vAlign w:val="top"/>
          </w:tcPr>
          <w:p>
            <w:r/>
            <w:r>
              <w:rPr>
                <w:rFonts w:ascii="Calibri" w:hAnsi="Calibri" w:cs="Calibri" w:eastAsia="Calibri"/>
                <w:b w:val="0"/>
                <w:i w:val="0"/>
                <w:sz w:val="21"/>
              </w:rPr>
              <w:t>Container orchestration, self-healing, horizontal autoscaling, rolling updates.</w:t>
            </w:r>
          </w:p>
        </w:tc>
      </w:tr>
      <w:tr>
        <w:tc>
          <w:tcPr>
            <w:tcW w:type="dxa" w:w="720"/>
            <w:vAlign w:val="top"/>
          </w:tcPr>
          <w:p>
            <w:r/>
            <w:r>
              <w:rPr>
                <w:rFonts w:ascii="Calibri" w:hAnsi="Calibri" w:cs="Calibri" w:eastAsia="Calibri"/>
                <w:b w:val="0"/>
                <w:i w:val="0"/>
                <w:sz w:val="21"/>
              </w:rPr>
              <w:t>H</w:t>
            </w:r>
          </w:p>
        </w:tc>
        <w:tc>
          <w:tcPr>
            <w:tcW w:type="dxa" w:w="4896"/>
            <w:vAlign w:val="top"/>
          </w:tcPr>
          <w:p>
            <w:r/>
            <w:r>
              <w:rPr>
                <w:rFonts w:ascii="Calibri" w:hAnsi="Calibri" w:cs="Calibri" w:eastAsia="Calibri"/>
                <w:b w:val="0"/>
                <w:i w:val="0"/>
                <w:sz w:val="21"/>
              </w:rPr>
              <w:t>Auto-generated model cards, Prometheus + Grafana drift and latency dashboards, Databricks Community Edition parity validation.</w:t>
            </w:r>
          </w:p>
        </w:tc>
        <w:tc>
          <w:tcPr>
            <w:tcW w:type="dxa" w:w="4752"/>
            <w:vAlign w:val="top"/>
          </w:tcPr>
          <w:p>
            <w:r/>
            <w:r>
              <w:rPr>
                <w:rFonts w:ascii="Calibri" w:hAnsi="Calibri" w:cs="Calibri" w:eastAsia="Calibri"/>
                <w:b w:val="0"/>
                <w:i w:val="0"/>
                <w:sz w:val="21"/>
              </w:rPr>
              <w:t>SR 11-7 governance alignment, observability, managed-runtime parity.</w:t>
            </w:r>
          </w:p>
        </w:tc>
      </w:tr>
    </w:tbl>
    <w:p>
      <w:pPr>
        <w:spacing w:before="120" w:after="80"/>
      </w:pPr>
      <w:r>
        <w:rPr>
          <w:rFonts w:ascii="Calibri" w:hAnsi="Calibri" w:cs="Calibri" w:eastAsia="Calibri"/>
          <w:b w:val="0"/>
          <w:i w:val="0"/>
          <w:sz w:val="22"/>
        </w:rPr>
        <w:t>The breadth of roles touched by this project is what makes it CV-defensible for ML Engineer, Senior Data Scientist, Data Platform Engineer, MLOps Engineer, and adjacent positions. Each phase produces a concrete piece of code or infrastructure that can be demonstrated and discussed in detail.</w:t>
      </w:r>
    </w:p>
    <w:p>
      <w:pPr>
        <w:spacing w:before="360" w:after="120"/>
        <w:pBdr>
          <w:bottom w:val="single" w:sz="8" w:space="1" w:color="1F3864"/>
        </w:pBdr>
      </w:pPr>
      <w:r>
        <w:rPr>
          <w:rFonts w:ascii="Calibri" w:hAnsi="Calibri" w:cs="Calibri" w:eastAsia="Calibri"/>
          <w:b/>
          <w:i w:val="0"/>
          <w:color w:val="1F3864"/>
          <w:sz w:val="32"/>
        </w:rPr>
        <w:t>11.  Vocabulary Cheat Sheet</w:t>
      </w:r>
    </w:p>
    <w:p>
      <w:pPr>
        <w:spacing w:before="0" w:after="80"/>
      </w:pPr>
      <w:r>
        <w:rPr>
          <w:rFonts w:ascii="Calibri" w:hAnsi="Calibri" w:cs="Calibri" w:eastAsia="Calibri"/>
          <w:b w:val="0"/>
          <w:i w:val="0"/>
          <w:sz w:val="22"/>
        </w:rPr>
        <w:t>Industry-current terms that signal production-engineering fluency in interviews and design discussions.</w:t>
      </w:r>
    </w:p>
    <w:tbl>
      <w:tblPr>
        <w:tblStyle w:val="LightGrid-Accent1"/>
        <w:tblW w:type="auto" w:w="0"/>
        <w:tblLook w:firstColumn="1" w:firstRow="1" w:lastColumn="0" w:lastRow="0" w:noHBand="0" w:noVBand="1" w:val="04A0"/>
      </w:tblPr>
      <w:tblGrid>
        <w:gridCol w:w="4968"/>
        <w:gridCol w:w="4968"/>
      </w:tblGrid>
      <w:tr>
        <w:tc>
          <w:tcPr>
            <w:tcW w:type="dxa" w:w="2592"/>
            <w:shd w:val="clear" w:color="auto" w:fill="1F3864"/>
            <w:vAlign w:val="center"/>
          </w:tcPr>
          <w:p>
            <w:pPr>
              <w:jc w:val="left"/>
            </w:pPr>
            <w:r/>
            <w:r>
              <w:rPr>
                <w:rFonts w:ascii="Calibri" w:hAnsi="Calibri" w:cs="Calibri" w:eastAsia="Calibri"/>
                <w:b/>
                <w:i w:val="0"/>
                <w:color w:val="FFFFFF"/>
                <w:sz w:val="22"/>
              </w:rPr>
              <w:t>Term</w:t>
            </w:r>
          </w:p>
        </w:tc>
        <w:tc>
          <w:tcPr>
            <w:tcW w:type="dxa" w:w="7200"/>
            <w:shd w:val="clear" w:color="auto" w:fill="1F3864"/>
            <w:vAlign w:val="center"/>
          </w:tcPr>
          <w:p>
            <w:pPr>
              <w:jc w:val="left"/>
            </w:pPr>
            <w:r/>
            <w:r>
              <w:rPr>
                <w:rFonts w:ascii="Calibri" w:hAnsi="Calibri" w:cs="Calibri" w:eastAsia="Calibri"/>
                <w:b/>
                <w:i w:val="0"/>
                <w:color w:val="FFFFFF"/>
                <w:sz w:val="22"/>
              </w:rPr>
              <w:t>Meaning</w:t>
            </w:r>
          </w:p>
        </w:tc>
      </w:tr>
      <w:tr>
        <w:tc>
          <w:tcPr>
            <w:tcW w:type="dxa" w:w="2592"/>
            <w:vAlign w:val="top"/>
          </w:tcPr>
          <w:p>
            <w:r/>
            <w:r>
              <w:rPr>
                <w:rFonts w:ascii="Calibri" w:hAnsi="Calibri" w:cs="Calibri" w:eastAsia="Calibri"/>
                <w:b w:val="0"/>
                <w:i w:val="0"/>
                <w:sz w:val="21"/>
              </w:rPr>
              <w:t>Trunk-based development</w:t>
            </w:r>
          </w:p>
        </w:tc>
        <w:tc>
          <w:tcPr>
            <w:tcW w:type="dxa" w:w="7200"/>
            <w:vAlign w:val="top"/>
          </w:tcPr>
          <w:p>
            <w:r/>
            <w:r>
              <w:rPr>
                <w:rFonts w:ascii="Calibri" w:hAnsi="Calibri" w:cs="Calibri" w:eastAsia="Calibri"/>
                <w:b w:val="0"/>
                <w:i w:val="0"/>
                <w:sz w:val="21"/>
              </w:rPr>
              <w:t>Modern branching model: short-lived feature branches merged into a single trunk through PRs. Replaces older git-flow.</w:t>
            </w:r>
          </w:p>
        </w:tc>
      </w:tr>
      <w:tr>
        <w:tc>
          <w:tcPr>
            <w:tcW w:type="dxa" w:w="2592"/>
            <w:vAlign w:val="top"/>
          </w:tcPr>
          <w:p>
            <w:r/>
            <w:r>
              <w:rPr>
                <w:rFonts w:ascii="Calibri" w:hAnsi="Calibri" w:cs="Calibri" w:eastAsia="Calibri"/>
                <w:b w:val="0"/>
                <w:i w:val="0"/>
                <w:sz w:val="21"/>
              </w:rPr>
              <w:t>Medallion architecture</w:t>
            </w:r>
          </w:p>
        </w:tc>
        <w:tc>
          <w:tcPr>
            <w:tcW w:type="dxa" w:w="7200"/>
            <w:vAlign w:val="top"/>
          </w:tcPr>
          <w:p>
            <w:r/>
            <w:r>
              <w:rPr>
                <w:rFonts w:ascii="Calibri" w:hAnsi="Calibri" w:cs="Calibri" w:eastAsia="Calibri"/>
                <w:b w:val="0"/>
                <w:i w:val="0"/>
                <w:sz w:val="21"/>
              </w:rPr>
              <w:t>The bronze / silver / gold layering pattern in a warehouse or lakehouse.</w:t>
            </w:r>
          </w:p>
        </w:tc>
      </w:tr>
      <w:tr>
        <w:tc>
          <w:tcPr>
            <w:tcW w:type="dxa" w:w="2592"/>
            <w:vAlign w:val="top"/>
          </w:tcPr>
          <w:p>
            <w:r/>
            <w:r>
              <w:rPr>
                <w:rFonts w:ascii="Calibri" w:hAnsi="Calibri" w:cs="Calibri" w:eastAsia="Calibri"/>
                <w:b w:val="0"/>
                <w:i w:val="0"/>
                <w:sz w:val="21"/>
              </w:rPr>
              <w:t>Lakehouse</w:t>
            </w:r>
          </w:p>
        </w:tc>
        <w:tc>
          <w:tcPr>
            <w:tcW w:type="dxa" w:w="7200"/>
            <w:vAlign w:val="top"/>
          </w:tcPr>
          <w:p>
            <w:r/>
            <w:r>
              <w:rPr>
                <w:rFonts w:ascii="Calibri" w:hAnsi="Calibri" w:cs="Calibri" w:eastAsia="Calibri"/>
                <w:b w:val="0"/>
                <w:i w:val="0"/>
                <w:sz w:val="21"/>
              </w:rPr>
              <w:t>Data store combining lake-style flexibility (object storage, schema evolution) with warehouse-style guarantees (ACID, time travel). Delta Lake, Iceberg, Hudi are the open formats.</w:t>
            </w:r>
          </w:p>
        </w:tc>
      </w:tr>
      <w:tr>
        <w:tc>
          <w:tcPr>
            <w:tcW w:type="dxa" w:w="2592"/>
            <w:vAlign w:val="top"/>
          </w:tcPr>
          <w:p>
            <w:r/>
            <w:r>
              <w:rPr>
                <w:rFonts w:ascii="Calibri" w:hAnsi="Calibri" w:cs="Calibri" w:eastAsia="Calibri"/>
                <w:b w:val="0"/>
                <w:i w:val="0"/>
                <w:sz w:val="21"/>
              </w:rPr>
              <w:t>Feature store / feature pipeline</w:t>
            </w:r>
          </w:p>
        </w:tc>
        <w:tc>
          <w:tcPr>
            <w:tcW w:type="dxa" w:w="7200"/>
            <w:vAlign w:val="top"/>
          </w:tcPr>
          <w:p>
            <w:r/>
            <w:r>
              <w:rPr>
                <w:rFonts w:ascii="Calibri" w:hAnsi="Calibri" w:cs="Calibri" w:eastAsia="Calibri"/>
                <w:b w:val="0"/>
                <w:i w:val="0"/>
                <w:sz w:val="21"/>
              </w:rPr>
              <w:t>Infrastructure for computing, storing, and serving model features consistently across training and inference.</w:t>
            </w:r>
          </w:p>
        </w:tc>
      </w:tr>
      <w:tr>
        <w:tc>
          <w:tcPr>
            <w:tcW w:type="dxa" w:w="2592"/>
            <w:vAlign w:val="top"/>
          </w:tcPr>
          <w:p>
            <w:r/>
            <w:r>
              <w:rPr>
                <w:rFonts w:ascii="Calibri" w:hAnsi="Calibri" w:cs="Calibri" w:eastAsia="Calibri"/>
                <w:b w:val="0"/>
                <w:i w:val="0"/>
                <w:sz w:val="21"/>
              </w:rPr>
              <w:t>Model registry</w:t>
            </w:r>
          </w:p>
        </w:tc>
        <w:tc>
          <w:tcPr>
            <w:tcW w:type="dxa" w:w="7200"/>
            <w:vAlign w:val="top"/>
          </w:tcPr>
          <w:p>
            <w:r/>
            <w:r>
              <w:rPr>
                <w:rFonts w:ascii="Calibri" w:hAnsi="Calibri" w:cs="Calibri" w:eastAsia="Calibri"/>
                <w:b w:val="0"/>
                <w:i w:val="0"/>
                <w:sz w:val="21"/>
              </w:rPr>
              <w:t>Versioned store for trained models with deployment stages (None, Staging, Production, Archived). MLflow, Weights &amp; Biases, SageMaker.</w:t>
            </w:r>
          </w:p>
        </w:tc>
      </w:tr>
      <w:tr>
        <w:tc>
          <w:tcPr>
            <w:tcW w:type="dxa" w:w="2592"/>
            <w:vAlign w:val="top"/>
          </w:tcPr>
          <w:p>
            <w:r/>
            <w:r>
              <w:rPr>
                <w:rFonts w:ascii="Calibri" w:hAnsi="Calibri" w:cs="Calibri" w:eastAsia="Calibri"/>
                <w:b w:val="0"/>
                <w:i w:val="0"/>
                <w:sz w:val="21"/>
              </w:rPr>
              <w:t>Model card</w:t>
            </w:r>
          </w:p>
        </w:tc>
        <w:tc>
          <w:tcPr>
            <w:tcW w:type="dxa" w:w="7200"/>
            <w:vAlign w:val="top"/>
          </w:tcPr>
          <w:p>
            <w:r/>
            <w:r>
              <w:rPr>
                <w:rFonts w:ascii="Calibri" w:hAnsi="Calibri" w:cs="Calibri" w:eastAsia="Calibri"/>
                <w:b w:val="0"/>
                <w:i w:val="0"/>
                <w:sz w:val="21"/>
              </w:rPr>
              <w:t>Standardised documentation for a model version: purpose, training data, metrics, fairness analysis, limitations. SR 11-7 aligned in regulated industries.</w:t>
            </w:r>
          </w:p>
        </w:tc>
      </w:tr>
      <w:tr>
        <w:tc>
          <w:tcPr>
            <w:tcW w:type="dxa" w:w="2592"/>
            <w:vAlign w:val="top"/>
          </w:tcPr>
          <w:p>
            <w:r/>
            <w:r>
              <w:rPr>
                <w:rFonts w:ascii="Calibri" w:hAnsi="Calibri" w:cs="Calibri" w:eastAsia="Calibri"/>
                <w:b w:val="0"/>
                <w:i w:val="0"/>
                <w:sz w:val="21"/>
              </w:rPr>
              <w:t>Champion / challenger</w:t>
            </w:r>
          </w:p>
        </w:tc>
        <w:tc>
          <w:tcPr>
            <w:tcW w:type="dxa" w:w="7200"/>
            <w:vAlign w:val="top"/>
          </w:tcPr>
          <w:p>
            <w:r/>
            <w:r>
              <w:rPr>
                <w:rFonts w:ascii="Calibri" w:hAnsi="Calibri" w:cs="Calibri" w:eastAsia="Calibri"/>
                <w:b w:val="0"/>
                <w:i w:val="0"/>
                <w:sz w:val="21"/>
              </w:rPr>
              <w:t>Live-traffic A/B test pattern between current production model and new candidate. Promotes whichever wins on real outcomes.</w:t>
            </w:r>
          </w:p>
        </w:tc>
      </w:tr>
      <w:tr>
        <w:tc>
          <w:tcPr>
            <w:tcW w:type="dxa" w:w="2592"/>
            <w:vAlign w:val="top"/>
          </w:tcPr>
          <w:p>
            <w:r/>
            <w:r>
              <w:rPr>
                <w:rFonts w:ascii="Calibri" w:hAnsi="Calibri" w:cs="Calibri" w:eastAsia="Calibri"/>
                <w:b w:val="0"/>
                <w:i w:val="0"/>
                <w:sz w:val="21"/>
              </w:rPr>
              <w:t>PSI (Population Stability Index)</w:t>
            </w:r>
          </w:p>
        </w:tc>
        <w:tc>
          <w:tcPr>
            <w:tcW w:type="dxa" w:w="7200"/>
            <w:vAlign w:val="top"/>
          </w:tcPr>
          <w:p>
            <w:r/>
            <w:r>
              <w:rPr>
                <w:rFonts w:ascii="Calibri" w:hAnsi="Calibri" w:cs="Calibri" w:eastAsia="Calibri"/>
                <w:b w:val="0"/>
                <w:i w:val="0"/>
                <w:sz w:val="21"/>
              </w:rPr>
              <w:t>Standard metric for measuring data drift between training distribution and live distribution.</w:t>
            </w:r>
          </w:p>
        </w:tc>
      </w:tr>
      <w:tr>
        <w:tc>
          <w:tcPr>
            <w:tcW w:type="dxa" w:w="2592"/>
            <w:vAlign w:val="top"/>
          </w:tcPr>
          <w:p>
            <w:r/>
            <w:r>
              <w:rPr>
                <w:rFonts w:ascii="Calibri" w:hAnsi="Calibri" w:cs="Calibri" w:eastAsia="Calibri"/>
                <w:b w:val="0"/>
                <w:i w:val="0"/>
                <w:sz w:val="21"/>
              </w:rPr>
              <w:t>SR 11-7</w:t>
            </w:r>
          </w:p>
        </w:tc>
        <w:tc>
          <w:tcPr>
            <w:tcW w:type="dxa" w:w="7200"/>
            <w:vAlign w:val="top"/>
          </w:tcPr>
          <w:p>
            <w:r/>
            <w:r>
              <w:rPr>
                <w:rFonts w:ascii="Calibri" w:hAnsi="Calibri" w:cs="Calibri" w:eastAsia="Calibri"/>
                <w:b w:val="0"/>
                <w:i w:val="0"/>
                <w:sz w:val="21"/>
              </w:rPr>
              <w:t>U.S. Federal Reserve guidance on model risk management. The regulatory framework banks operate under for model governance.</w:t>
            </w:r>
          </w:p>
        </w:tc>
      </w:tr>
      <w:tr>
        <w:tc>
          <w:tcPr>
            <w:tcW w:type="dxa" w:w="2592"/>
            <w:vAlign w:val="top"/>
          </w:tcPr>
          <w:p>
            <w:r/>
            <w:r>
              <w:rPr>
                <w:rFonts w:ascii="Calibri" w:hAnsi="Calibri" w:cs="Calibri" w:eastAsia="Calibri"/>
                <w:b w:val="0"/>
                <w:i w:val="0"/>
                <w:sz w:val="21"/>
              </w:rPr>
              <w:t>Observability</w:t>
            </w:r>
          </w:p>
        </w:tc>
        <w:tc>
          <w:tcPr>
            <w:tcW w:type="dxa" w:w="7200"/>
            <w:vAlign w:val="top"/>
          </w:tcPr>
          <w:p>
            <w:r/>
            <w:r>
              <w:rPr>
                <w:rFonts w:ascii="Calibri" w:hAnsi="Calibri" w:cs="Calibri" w:eastAsia="Calibri"/>
                <w:b w:val="0"/>
                <w:i w:val="0"/>
                <w:sz w:val="21"/>
              </w:rPr>
              <w:t>The discipline of being able to ask arbitrary questions about system behaviour after the fact, via metrics, logs, and traces. Beyond simple monitoring.</w:t>
            </w:r>
          </w:p>
        </w:tc>
      </w:tr>
    </w:tbl>
    <w:p>
      <w:pPr>
        <w:spacing w:before="360" w:after="120"/>
        <w:pBdr>
          <w:bottom w:val="single" w:sz="8" w:space="1" w:color="1F3864"/>
        </w:pBdr>
      </w:pPr>
      <w:r>
        <w:rPr>
          <w:rFonts w:ascii="Calibri" w:hAnsi="Calibri" w:cs="Calibri" w:eastAsia="Calibri"/>
          <w:b/>
          <w:i w:val="0"/>
          <w:color w:val="1F3864"/>
          <w:sz w:val="32"/>
        </w:rPr>
        <w:t>12.  Key Takeaways</w:t>
      </w:r>
    </w:p>
    <w:p>
      <w:pPr>
        <w:pStyle w:val="ListBullet"/>
        <w:spacing w:before="0" w:after="40"/>
        <w:ind w:left="360"/>
      </w:pPr>
      <w:r>
        <w:rPr>
          <w:rFonts w:ascii="Calibri" w:hAnsi="Calibri" w:cs="Calibri" w:eastAsia="Calibri"/>
          <w:b w:val="0"/>
          <w:i w:val="0"/>
          <w:sz w:val="22"/>
        </w:rPr>
        <w:t xml:space="preserve">A modern data team is at minimum five distinct roles. The role you are positioning for as a data scientist transitioning to production is the </w:t>
      </w:r>
      <w:r>
        <w:rPr>
          <w:rFonts w:ascii="Calibri" w:hAnsi="Calibri" w:cs="Calibri" w:eastAsia="Calibri"/>
          <w:b/>
          <w:i w:val="0"/>
          <w:sz w:val="22"/>
        </w:rPr>
        <w:t>ML Engineer</w:t>
      </w:r>
      <w:r>
        <w:rPr>
          <w:rFonts w:ascii="Calibri" w:hAnsi="Calibri" w:cs="Calibri" w:eastAsia="Calibri"/>
          <w:b w:val="0"/>
          <w:i w:val="0"/>
          <w:sz w:val="22"/>
        </w:rPr>
        <w:t>. It bridges data science and platform engineering and is the highest-leverage role on a production data team in 2026.</w:t>
      </w:r>
    </w:p>
    <w:p>
      <w:pPr>
        <w:pStyle w:val="ListBullet"/>
        <w:spacing w:before="0" w:after="40"/>
        <w:ind w:left="360"/>
      </w:pPr>
      <w:r>
        <w:rPr>
          <w:rFonts w:ascii="Calibri" w:hAnsi="Calibri" w:cs="Calibri" w:eastAsia="Calibri"/>
          <w:b w:val="0"/>
          <w:i w:val="0"/>
          <w:sz w:val="22"/>
        </w:rPr>
        <w:t xml:space="preserve">Three artefact stores: </w:t>
      </w:r>
      <w:r>
        <w:rPr>
          <w:rFonts w:ascii="Calibri" w:hAnsi="Calibri" w:cs="Calibri" w:eastAsia="Calibri"/>
          <w:b/>
          <w:i w:val="0"/>
          <w:sz w:val="22"/>
        </w:rPr>
        <w:t>git</w:t>
      </w:r>
      <w:r>
        <w:rPr>
          <w:rFonts w:ascii="Calibri" w:hAnsi="Calibri" w:cs="Calibri" w:eastAsia="Calibri"/>
          <w:b w:val="0"/>
          <w:i w:val="0"/>
          <w:sz w:val="22"/>
        </w:rPr>
        <w:t xml:space="preserve"> (code), the </w:t>
      </w:r>
      <w:r>
        <w:rPr>
          <w:rFonts w:ascii="Calibri" w:hAnsi="Calibri" w:cs="Calibri" w:eastAsia="Calibri"/>
          <w:b/>
          <w:i w:val="0"/>
          <w:sz w:val="22"/>
        </w:rPr>
        <w:t>Docker registry</w:t>
      </w:r>
      <w:r>
        <w:rPr>
          <w:rFonts w:ascii="Calibri" w:hAnsi="Calibri" w:cs="Calibri" w:eastAsia="Calibri"/>
          <w:b w:val="0"/>
          <w:i w:val="0"/>
          <w:sz w:val="22"/>
        </w:rPr>
        <w:t xml:space="preserve"> (compiled images), and the </w:t>
      </w:r>
      <w:r>
        <w:rPr>
          <w:rFonts w:ascii="Calibri" w:hAnsi="Calibri" w:cs="Calibri" w:eastAsia="Calibri"/>
          <w:b/>
          <w:i w:val="0"/>
          <w:sz w:val="22"/>
        </w:rPr>
        <w:t>model registry</w:t>
      </w:r>
      <w:r>
        <w:rPr>
          <w:rFonts w:ascii="Calibri" w:hAnsi="Calibri" w:cs="Calibri" w:eastAsia="Calibri"/>
          <w:b w:val="0"/>
          <w:i w:val="0"/>
          <w:sz w:val="22"/>
        </w:rPr>
        <w:t xml:space="preserve"> (trained models). They version independently and serve different consumers.</w:t>
      </w:r>
    </w:p>
    <w:p>
      <w:pPr>
        <w:pStyle w:val="ListBullet"/>
        <w:spacing w:before="0" w:after="40"/>
        <w:ind w:left="360"/>
      </w:pPr>
      <w:r>
        <w:rPr>
          <w:rFonts w:ascii="Calibri" w:hAnsi="Calibri" w:cs="Calibri" w:eastAsia="Calibri"/>
          <w:b/>
          <w:i w:val="0"/>
          <w:sz w:val="22"/>
        </w:rPr>
        <w:t>Code lives in git, models live in the registry, data lives in the warehouse.</w:t>
      </w:r>
      <w:r>
        <w:rPr>
          <w:rFonts w:ascii="Calibri" w:hAnsi="Calibri" w:cs="Calibri" w:eastAsia="Calibri"/>
          <w:b w:val="0"/>
          <w:i w:val="0"/>
          <w:sz w:val="22"/>
        </w:rPr>
        <w:t xml:space="preserve"> This single sentence captures the structural backbone of any production ML system.</w:t>
      </w:r>
    </w:p>
    <w:p>
      <w:pPr>
        <w:pStyle w:val="ListBullet"/>
        <w:spacing w:before="0" w:after="40"/>
        <w:ind w:left="360"/>
      </w:pPr>
      <w:r>
        <w:rPr>
          <w:rFonts w:ascii="Calibri" w:hAnsi="Calibri" w:cs="Calibri" w:eastAsia="Calibri"/>
          <w:b w:val="0"/>
          <w:i w:val="0"/>
          <w:sz w:val="22"/>
        </w:rPr>
        <w:t>Three cadences run simultaneously: real-time serving, weekly retraining, monthly code changes. Quarterly architecture review on top. Knowing which cadence an activity belongs to is the difference between reactive and strategic engineering.</w:t>
      </w:r>
    </w:p>
    <w:p>
      <w:pPr>
        <w:pStyle w:val="ListBullet"/>
        <w:spacing w:before="0" w:after="40"/>
        <w:ind w:left="360"/>
      </w:pPr>
      <w:r>
        <w:rPr>
          <w:rFonts w:ascii="Calibri" w:hAnsi="Calibri" w:cs="Calibri" w:eastAsia="Calibri"/>
          <w:b w:val="0"/>
          <w:i w:val="0"/>
          <w:sz w:val="22"/>
        </w:rPr>
        <w:t xml:space="preserve">Three contract types enforce correctness automatically: </w:t>
      </w:r>
      <w:r>
        <w:rPr>
          <w:rFonts w:ascii="Calibri" w:hAnsi="Calibri" w:cs="Calibri" w:eastAsia="Calibri"/>
          <w:b/>
          <w:i w:val="0"/>
          <w:sz w:val="22"/>
        </w:rPr>
        <w:t>data contracts</w:t>
      </w:r>
      <w:r>
        <w:rPr>
          <w:rFonts w:ascii="Calibri" w:hAnsi="Calibri" w:cs="Calibri" w:eastAsia="Calibri"/>
          <w:b w:val="0"/>
          <w:i w:val="0"/>
          <w:sz w:val="22"/>
        </w:rPr>
        <w:t xml:space="preserve"> at ingestion, </w:t>
      </w:r>
      <w:r>
        <w:rPr>
          <w:rFonts w:ascii="Calibri" w:hAnsi="Calibri" w:cs="Calibri" w:eastAsia="Calibri"/>
          <w:b/>
          <w:i w:val="0"/>
          <w:sz w:val="22"/>
        </w:rPr>
        <w:t>model contracts</w:t>
      </w:r>
      <w:r>
        <w:rPr>
          <w:rFonts w:ascii="Calibri" w:hAnsi="Calibri" w:cs="Calibri" w:eastAsia="Calibri"/>
          <w:b w:val="0"/>
          <w:i w:val="0"/>
          <w:sz w:val="22"/>
        </w:rPr>
        <w:t xml:space="preserve"> at scoring, and </w:t>
      </w:r>
      <w:r>
        <w:rPr>
          <w:rFonts w:ascii="Calibri" w:hAnsi="Calibri" w:cs="Calibri" w:eastAsia="Calibri"/>
          <w:b/>
          <w:i w:val="0"/>
          <w:sz w:val="22"/>
        </w:rPr>
        <w:t>promotion contracts</w:t>
      </w:r>
      <w:r>
        <w:rPr>
          <w:rFonts w:ascii="Calibri" w:hAnsi="Calibri" w:cs="Calibri" w:eastAsia="Calibri"/>
          <w:b w:val="0"/>
          <w:i w:val="0"/>
          <w:sz w:val="22"/>
        </w:rPr>
        <w:t xml:space="preserve"> at the Staging → Production gate.</w:t>
      </w:r>
    </w:p>
    <w:p>
      <w:pPr>
        <w:pStyle w:val="ListBullet"/>
        <w:spacing w:before="0" w:after="40"/>
        <w:ind w:left="360"/>
      </w:pPr>
      <w:r>
        <w:rPr>
          <w:rFonts w:ascii="Calibri" w:hAnsi="Calibri" w:cs="Calibri" w:eastAsia="Calibri"/>
          <w:b w:val="0"/>
          <w:i w:val="0"/>
          <w:sz w:val="22"/>
        </w:rPr>
        <w:t>What makes a system "production" is not the engine (pandas vs Spark) but the engineering discipline: reproducibility, testing, monitoring, versioning, automated CI/CD, and governance.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