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b/>
          <w:color w:val="1F3A5F"/>
          <w:sz w:val="64"/>
        </w:rPr>
        <w:t>Credit Risk Pipeline</w:t>
      </w:r>
    </w:p>
    <w:p>
      <w:pPr>
        <w:jc w:val="center"/>
      </w:pPr>
      <w:r>
        <w:rPr>
          <w:color w:val="2E75B6"/>
          <w:sz w:val="44"/>
        </w:rPr>
        <w:t>Production Architecture Design Document</w:t>
      </w:r>
    </w:p>
    <w:p>
      <w:pPr>
        <w:jc w:val="center"/>
      </w:pPr>
      <w:r>
        <w:rPr>
          <w:i/>
          <w:color w:val="6B6B6B"/>
          <w:sz w:val="28"/>
        </w:rPr>
        <w:t>Phase 3 — Machine Learning for Credit Prediction</w:t>
      </w:r>
    </w:p>
    <w:p>
      <w:pPr>
        <w:spacing w:before="1200"/>
      </w:pPr>
    </w:p>
    <w:p>
      <w:pPr>
        <w:jc w:val="center"/>
      </w:pPr>
      <w:r>
        <w:rPr>
          <w:color w:val="333333"/>
          <w:sz w:val="24"/>
        </w:rPr>
        <w:t>Prepared for: Jurgen Bouwer, AX Consult Group</w:t>
        <w:br/>
        <w:t>Architectural review: Claude (Anthropic)</w:t>
        <w:br/>
        <w:t>Date: 21 April 2026</w:t>
        <w:br/>
        <w:t>Version: 1.0 (Draft for review)</w:t>
      </w:r>
    </w:p>
    <w:p>
      <w:pPr>
        <w:spacing w:before="1600"/>
      </w:pPr>
    </w:p>
    <w:p>
      <w:pPr>
        <w:jc w:val="center"/>
      </w:pPr>
      <w:r>
        <w:rPr>
          <w:i/>
          <w:color w:val="333333"/>
          <w:sz w:val="22"/>
        </w:rPr>
        <w:t>This document describes the target production architecture for the credit scoring pipeline, the mapping between enterprise components (Snowflake, Databricks, Spark, Kubernetes) and a local-only learning environment, and a phased roadmap to move from the current Phase 3 codebase to a production-ready analytics product.</w:t>
      </w:r>
    </w:p>
    <w:p>
      <w:r>
        <w:br w:type="page"/>
      </w:r>
    </w:p>
    <w:p>
      <w:pPr>
        <w:pStyle w:val="Heading1"/>
      </w:pPr>
      <w:r>
        <w:t>Document Control</w:t>
      </w:r>
    </w:p>
    <w:tbl>
      <w:tblPr>
        <w:tblW w:type="auto" w:w="0"/>
        <w:jc w:val="left"/>
        <w:tblLook w:firstColumn="1" w:firstRow="1" w:lastColumn="0" w:lastRow="0" w:noHBand="0" w:noVBand="1" w:val="04A0"/>
      </w:tblPr>
      <w:tblGrid>
        <w:gridCol w:w="4680"/>
        <w:gridCol w:w="4680"/>
      </w:tblGrid>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Title</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Credit Risk Pipeline — Production Architecture Design Document</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Project</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Machine-Learning-For-Credit-Prediction-Phase-3</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Owner</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Jurgen Bouwer, AX Consult Group</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Prepared by</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Claude (architectural review)</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Status</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Draft — for review and alignment</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Version</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1.0</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Date</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21 April 2026</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Audience</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Model owner, ML engineering partner(s), portfolio reviewers</w:t>
            </w:r>
          </w:p>
        </w:tc>
      </w:tr>
      <w:tr>
        <w:tc>
          <w:tcPr>
            <w:tcW w:type="dxa" w:w="3168"/>
            <w:tcBorders>
              <w:top w:val="single" w:sz="4" w:space="0" w:color="BFBFBF"/>
              <w:left w:val="single" w:sz="4" w:space="0" w:color="BFBFBF"/>
              <w:bottom w:val="single" w:sz="4" w:space="0" w:color="BFBFBF"/>
              <w:right w:val="single" w:sz="4" w:space="0" w:color="BFBFBF"/>
            </w:tcBorders>
            <w:vAlign w:val="top"/>
          </w:tcPr>
          <w:p>
            <w:r/>
            <w:r>
              <w:rPr>
                <w:b/>
                <w:color w:val="1F3A5F"/>
                <w:sz w:val="20"/>
              </w:rPr>
              <w:t>Scope</w:t>
            </w:r>
          </w:p>
        </w:tc>
        <w:tc>
          <w:tcPr>
            <w:tcW w:type="dxa" w:w="6192"/>
            <w:tcBorders>
              <w:top w:val="single" w:sz="4" w:space="0" w:color="BFBFBF"/>
              <w:left w:val="single" w:sz="4" w:space="0" w:color="BFBFBF"/>
              <w:bottom w:val="single" w:sz="4" w:space="0" w:color="BFBFBF"/>
              <w:right w:val="single" w:sz="4" w:space="0" w:color="BFBFBF"/>
            </w:tcBorders>
            <w:vAlign w:val="top"/>
          </w:tcPr>
          <w:p>
            <w:r/>
            <w:r>
              <w:rPr>
                <w:sz w:val="20"/>
              </w:rPr>
              <w:t>Production architecture, local-only learning setup, phased implementation roadmap. Does NOT prescribe cloud provider choice or make model-risk management claims beyond what is achievable on a learning-grade deployment.</w:t>
            </w:r>
          </w:p>
        </w:tc>
      </w:tr>
    </w:tbl>
    <w:p/>
    <w:p>
      <w:pPr>
        <w:pStyle w:val="Heading2"/>
      </w:pPr>
      <w:r>
        <w:t>Version history</w:t>
      </w:r>
    </w:p>
    <w:tbl>
      <w:tblPr>
        <w:tblW w:type="auto" w:w="0"/>
        <w:jc w:val="left"/>
        <w:tblLook w:firstColumn="1" w:firstRow="1" w:lastColumn="0" w:lastRow="0" w:noHBand="0" w:noVBand="1" w:val="04A0"/>
      </w:tblPr>
      <w:tblGrid>
        <w:gridCol w:w="2340"/>
        <w:gridCol w:w="2340"/>
        <w:gridCol w:w="2340"/>
        <w:gridCol w:w="2340"/>
      </w:tblGrid>
      <w:tr>
        <w:tc>
          <w:tcPr>
            <w:tcW w:type="dxa" w:w="1296"/>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Version</w:t>
            </w:r>
          </w:p>
        </w:tc>
        <w:tc>
          <w:tcPr>
            <w:tcW w:type="dxa" w:w="172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Date</w:t>
            </w:r>
          </w:p>
        </w:tc>
        <w:tc>
          <w:tcPr>
            <w:tcW w:type="dxa" w:w="172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Author</w:t>
            </w:r>
          </w:p>
        </w:tc>
        <w:tc>
          <w:tcPr>
            <w:tcW w:type="dxa" w:w="460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Change</w:t>
            </w:r>
          </w:p>
        </w:tc>
      </w:tr>
      <w:tr>
        <w:tc>
          <w:tcPr>
            <w:tcW w:type="dxa" w:w="1296"/>
            <w:tcBorders>
              <w:top w:val="single" w:sz="4" w:space="0" w:color="BFBFBF"/>
              <w:left w:val="single" w:sz="4" w:space="0" w:color="BFBFBF"/>
              <w:bottom w:val="single" w:sz="4" w:space="0" w:color="BFBFBF"/>
              <w:right w:val="single" w:sz="4" w:space="0" w:color="BFBFBF"/>
            </w:tcBorders>
            <w:vAlign w:val="top"/>
          </w:tcPr>
          <w:p>
            <w:r/>
            <w:r>
              <w:rPr>
                <w:sz w:val="19"/>
              </w:rPr>
              <w:t>0.1</w:t>
            </w:r>
          </w:p>
        </w:tc>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2026-04-06</w:t>
            </w:r>
          </w:p>
        </w:tc>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Claude</w:t>
            </w:r>
          </w:p>
        </w:tc>
        <w:tc>
          <w:tcPr>
            <w:tcW w:type="dxa" w:w="4608"/>
            <w:tcBorders>
              <w:top w:val="single" w:sz="4" w:space="0" w:color="BFBFBF"/>
              <w:left w:val="single" w:sz="4" w:space="0" w:color="BFBFBF"/>
              <w:bottom w:val="single" w:sz="4" w:space="0" w:color="BFBFBF"/>
              <w:right w:val="single" w:sz="4" w:space="0" w:color="BFBFBF"/>
            </w:tcBorders>
            <w:vAlign w:val="top"/>
          </w:tcPr>
          <w:p>
            <w:r/>
            <w:r>
              <w:rPr>
                <w:sz w:val="19"/>
              </w:rPr>
              <w:t>Initial code review (separate document)</w:t>
            </w:r>
          </w:p>
        </w:tc>
      </w:tr>
      <w:tr>
        <w:tc>
          <w:tcPr>
            <w:tcW w:type="dxa" w:w="129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1.0</w:t>
            </w:r>
          </w:p>
        </w:tc>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2026-04-21</w:t>
            </w:r>
          </w:p>
        </w:tc>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Claude</w:t>
            </w:r>
          </w:p>
        </w:tc>
        <w:tc>
          <w:tcPr>
            <w:tcW w:type="dxa" w:w="460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Production architecture design doc — this version</w:t>
            </w:r>
          </w:p>
        </w:tc>
      </w:tr>
    </w:tbl>
    <w:p/>
    <w:p>
      <w:pPr>
        <w:pStyle w:val="Heading2"/>
      </w:pPr>
      <w:r>
        <w:t>How to read this document</w:t>
      </w:r>
    </w:p>
    <w:p>
      <w:r>
        <w:t>Sections 1 and 2 summarize the goal and the current state of the codebase. Sections 3 and 4 describe design principles and the target architecture. Sections 5 through 11 go layer by layer — data, features, training, batch scoring, real-time serving, CI/CD, and governance. Section 12 is a setup guide for the local-only learning environment. Section 13 is the phased roadmap. Section 14 lists risks and open questions.</w:t>
      </w:r>
    </w:p>
    <w:p>
      <w:r>
        <w:br w:type="page"/>
      </w:r>
    </w:p>
    <w:p>
      <w:pPr>
        <w:pStyle w:val="Heading1"/>
      </w:pPr>
      <w:r>
        <w:t>Table of Contents</w:t>
      </w:r>
    </w:p>
    <w:p>
      <w:r>
        <w:fldChar w:fldCharType="begin"/>
        <w:instrText xml:space="preserve">TOC \o "1-3" \h \z \u</w:instrText>
        <w:fldChar w:fldCharType="separate"/>
        <w:t>Right-click and choose "Update Field" to populate the table of contents.</w:t>
        <w:fldChar w:fldCharType="end"/>
      </w:r>
    </w:p>
    <w:p>
      <w:r>
        <w:rPr>
          <w:i/>
          <w:color w:val="6B6B6B"/>
          <w:sz w:val="18"/>
        </w:rPr>
        <w:t>Tip: in Word, right-click inside the table above and choose "Update Field → Update entire table" to populate page numbers.</w:t>
      </w:r>
    </w:p>
    <w:p>
      <w:r>
        <w:br w:type="page"/>
      </w:r>
    </w:p>
    <w:p>
      <w:pPr>
        <w:pStyle w:val="Heading1"/>
      </w:pPr>
      <w:r>
        <w:t>1. Executive Summary</w:t>
      </w:r>
    </w:p>
    <w:p>
      <w:r>
        <w:t>The Credit Risk Pipeline (Phase 3) is a Python-based ML project that combines traditional credit bureau features with psychometric / behavioural (DRA) signals to produce a probability-of-default score and a credit scorecard. The codebase has matured to the point where the modelling logic runs end-to-end, feature lists and leakage controls are codified in configuration, and a regression test guards the key invariants that were previously violated (ID-substring drop, performance-period leakage).</w:t>
      </w:r>
    </w:p>
    <w:p>
      <w:r>
        <w:t>The next step is to lift the pipeline from a working analytical notebook into a production-grade analytics product: one that can be retrained reliably, scored both in batch and in real time, monitored in flight, and explained to a model risk reviewer. This document describes that target architecture.</w:t>
      </w:r>
    </w:p>
    <w:p>
      <w:pPr>
        <w:spacing w:after="80"/>
      </w:pPr>
      <w:r>
        <w:rPr>
          <w:b/>
          <w:color w:val="1F3A5F"/>
          <w:sz w:val="24"/>
        </w:rPr>
        <w:t>Key design choices</w:t>
      </w:r>
    </w:p>
    <w:p>
      <w:pPr>
        <w:pStyle w:val="ListBullet"/>
        <w:ind w:left="360"/>
      </w:pPr>
      <w:r>
        <w:rPr>
          <w:sz w:val="22"/>
        </w:rPr>
        <w:t>Snowflake as the warehouse of record (locally substituted by DuckDB while learning).</w:t>
      </w:r>
    </w:p>
    <w:p>
      <w:pPr>
        <w:pStyle w:val="ListBullet"/>
        <w:ind w:left="360"/>
      </w:pPr>
      <w:r>
        <w:rPr>
          <w:sz w:val="22"/>
        </w:rPr>
        <w:t>Databricks with Apache Spark and MLflow for feature engineering, training, experiment tracking, and the model registry (locally substituted by PySpark + a local MLflow tracking server).</w:t>
      </w:r>
    </w:p>
    <w:p>
      <w:pPr>
        <w:pStyle w:val="ListBullet"/>
        <w:ind w:left="360"/>
      </w:pPr>
      <w:r>
        <w:rPr>
          <w:sz w:val="22"/>
        </w:rPr>
        <w:t>FastAPI on Kubernetes for real-time scoring (locally on minikube).</w:t>
      </w:r>
    </w:p>
    <w:p>
      <w:pPr>
        <w:pStyle w:val="ListBullet"/>
        <w:ind w:left="360"/>
      </w:pPr>
      <w:r>
        <w:rPr>
          <w:sz w:val="22"/>
        </w:rPr>
        <w:t>Databricks Workflows for batch orchestration (locally substituted by a Makefile and Prefect).</w:t>
      </w:r>
    </w:p>
    <w:p>
      <w:pPr>
        <w:pStyle w:val="ListBullet"/>
        <w:ind w:left="360"/>
      </w:pPr>
      <w:r>
        <w:rPr>
          <w:sz w:val="22"/>
        </w:rPr>
        <w:t>GitHub Actions for CI/CD, with a Dockerised runtime and pinned dependencies.</w:t>
      </w:r>
    </w:p>
    <w:p>
      <w:pPr>
        <w:pStyle w:val="ListBullet"/>
        <w:ind w:left="360"/>
      </w:pPr>
      <w:r>
        <w:rPr>
          <w:sz w:val="22"/>
        </w:rPr>
        <w:t>A governance layer aligned to SR 11-7 principles — model card, reason codes, drift monitoring, champion/challenger, and an audit trail anchored in MLflow and Git.</w:t>
      </w:r>
    </w:p>
    <w:p>
      <w:r>
        <w:t>Every component has a credible local analogue, so the full architecture can be learnt and demonstrated end-to-end without cloud spend. The roadmap in Section 13 delivers the architecture in eight focused phases, each of which produces a standalone, portfolio-quality deliverable.</w:t>
      </w:r>
    </w:p>
    <w:p>
      <w:r>
        <w:br w:type="page"/>
      </w:r>
    </w:p>
    <w:p>
      <w:pPr>
        <w:pStyle w:val="Heading1"/>
      </w:pPr>
      <w:r>
        <w:t>2. Current-State Assessment</w:t>
      </w:r>
    </w:p>
    <w:p>
      <w:r>
        <w:t>This section describes what exists in the repository today. It is the starting point the target architecture has to build on, and it informs where the production pipeline can reuse existing code versus where it needs to replace or wrap what is already there.</w:t>
      </w:r>
    </w:p>
    <w:p>
      <w:pPr>
        <w:pStyle w:val="Heading2"/>
      </w:pPr>
      <w:r>
        <w:t>2.1 Repository layout</w:t>
      </w:r>
    </w:p>
    <w:p>
      <w:r>
        <w:t>The active codebase is organised into three top-level areas:</w:t>
      </w:r>
    </w:p>
    <w:p>
      <w:pPr>
        <w:pStyle w:val="ListBullet"/>
        <w:ind w:left="360"/>
      </w:pPr>
      <w:r>
        <w:rPr>
          <w:sz w:val="22"/>
        </w:rPr>
        <w:t>src/ — library code, broken down into data, features, and models submodules, plus config.py and paths.py.</w:t>
      </w:r>
    </w:p>
    <w:p>
      <w:pPr>
        <w:pStyle w:val="ListBullet"/>
        <w:ind w:left="360"/>
      </w:pPr>
      <w:r>
        <w:rPr>
          <w:sz w:val="22"/>
        </w:rPr>
        <w:t>pipelines/ — the end-to-end driver script run_pipeline.py.</w:t>
      </w:r>
    </w:p>
    <w:p>
      <w:pPr>
        <w:pStyle w:val="ListBullet"/>
        <w:ind w:left="360"/>
      </w:pPr>
      <w:r>
        <w:rPr>
          <w:sz w:val="22"/>
        </w:rPr>
        <w:t>tests/ — a small but strategically chosen test_config.py that locks in leakage and ID-column invariants.</w:t>
      </w:r>
    </w:p>
    <w:p>
      <w:r>
        <w:t>Legacy code is preserved under archive/v1_initial/ and archive/v2_refactor/, and is explicitly excluded from linting and testing. That separation is sound and should be retained as the repository grows.</w:t>
      </w:r>
    </w:p>
    <w:p>
      <w:pPr>
        <w:pStyle w:val="Heading2"/>
      </w:pPr>
      <w:r>
        <w:t>2.2 Active pipeline call graph</w:t>
      </w:r>
    </w:p>
    <w:p>
      <w:r>
        <w:t>pipelines/run_pipeline.py is the working entry point. The end-to-end flow, traced through the code, is:</w:t>
      </w:r>
    </w:p>
    <w:p>
      <w:pPr>
        <w:shd w:val="clear" w:color="auto" w:fill="F2F2F2"/>
        <w:spacing w:after="80"/>
        <w:ind w:left="288"/>
      </w:pPr>
      <w:r>
        <w:rPr>
          <w:rFonts w:ascii="Consolas" w:hAnsi="Consolas"/>
          <w:color w:val="333333"/>
          <w:sz w:val="18"/>
        </w:rPr>
        <w:t>run_pipeline(path)</w:t>
        <w:br/>
        <w:t xml:space="preserve">  ├── load_data(path)                       # pandas read_excel</w:t>
        <w:br/>
        <w:t xml:space="preserve">  ├── create_features(df)                   # src/features/features.py</w:t>
        <w:br/>
        <w:t xml:space="preserve">  ├── drop_ids_and_leakage(df)              # uses ID_COLUMNS + LEAKAGE_COLUMNS from config.py</w:t>
        <w:br/>
        <w:t xml:space="preserve">  ├── train_test_split(...)                 # sklearn, 70/30, stratified on TARGET</w:t>
        <w:br/>
        <w:t xml:space="preserve">  ├── impute_train_test(X_train, X_test)    # median on train only — correct</w:t>
        <w:br/>
        <w:t xml:space="preserve">  ├── train_scorecard_model(...)            # LR + sigmoid calibration → PD → score</w:t>
        <w:br/>
        <w:t xml:space="preserve">  ├── one-hot encode X_train / X_test       # done post-split for the RF path</w:t>
        <w:br/>
        <w:t xml:space="preserve">  ├── train_random_forest(X_train, y_train) # sklearn RF (100 trees, depth=5)</w:t>
        <w:br/>
        <w:t xml:space="preserve">  └── evaluate + print AUC, Gini, KS</w:t>
      </w:r>
    </w:p>
    <w:p>
      <w:pPr>
        <w:pStyle w:val="Heading2"/>
      </w:pPr>
      <w:r>
        <w:t>2.3 What the code does well</w:t>
      </w:r>
    </w:p>
    <w:p>
      <w:pPr>
        <w:pStyle w:val="ListBullet"/>
        <w:ind w:left="360"/>
      </w:pPr>
      <w:r>
        <w:rPr>
          <w:sz w:val="22"/>
        </w:rPr>
        <w:t>Explicit feature and leakage lists. config.py maintains named lists (ID_COLUMNS, LEAKAGE_COLUMNS, CREDIT_ASSESS_FEATURES, DRA_DIMENSIONS, CATEGORICAL_FEATURES) rather than pattern-based drops. This removed the class of bug where legitimate features containing "account" or "id" in their names were silently removed.</w:t>
      </w:r>
    </w:p>
    <w:p>
      <w:pPr>
        <w:pStyle w:val="ListBullet"/>
        <w:ind w:left="360"/>
      </w:pPr>
      <w:r>
        <w:rPr>
          <w:sz w:val="22"/>
        </w:rPr>
        <w:t>Regression tests that lock in invariants. tests/test_config.py asserts that the TARGET is "bad", that LEAKAGE_COLUMNS contains the performance-window features, that ID_COLUMNS is an exact-match list, and that legitimate assessment features are not in the leakage list. This is exactly the right shape of test for a credit pipeline: it prevents the reintroduction of an invalidating error.</w:t>
      </w:r>
    </w:p>
    <w:p>
      <w:pPr>
        <w:pStyle w:val="ListBullet"/>
        <w:ind w:left="360"/>
      </w:pPr>
      <w:r>
        <w:rPr>
          <w:sz w:val="22"/>
        </w:rPr>
        <w:t>Correct train/test discipline in the active pipeline. Median imputation in impute_train_test fits on X_train only, and the RF's one-hot encoding is applied post-split.</w:t>
      </w:r>
    </w:p>
    <w:p>
      <w:pPr>
        <w:pStyle w:val="ListBullet"/>
        <w:ind w:left="360"/>
      </w:pPr>
      <w:r>
        <w:rPr>
          <w:sz w:val="22"/>
        </w:rPr>
        <w:t>Separation of scorecard and challenger (RF). Producing both a calibrated scorecard and a benchmark tree ensemble in the same run is the correct pattern for credit: the scorecard is deployable and explainable; the RF is the challenger.</w:t>
      </w:r>
    </w:p>
    <w:p>
      <w:pPr>
        <w:pStyle w:val="Heading2"/>
      </w:pPr>
      <w:r>
        <w:t>2.4 Gaps relative to production</w:t>
      </w:r>
    </w:p>
    <w:p>
      <w:r>
        <w:t>These are not criticisms of the Phase 3 codebase — they are the expected gaps between an analytical pipeline and a production system. They frame the work in the rest of this document.</w:t>
      </w:r>
    </w:p>
    <w:tbl>
      <w:tblPr>
        <w:tblW w:type="auto" w:w="0"/>
        <w:jc w:val="left"/>
        <w:tblLook w:firstColumn="1" w:firstRow="1" w:lastColumn="0" w:lastRow="0" w:noHBand="0" w:noVBand="1" w:val="04A0"/>
      </w:tblPr>
      <w:tblGrid>
        <w:gridCol w:w="3120"/>
        <w:gridCol w:w="3120"/>
        <w:gridCol w:w="3120"/>
      </w:tblGrid>
      <w:tr>
        <w:tc>
          <w:tcPr>
            <w:tcW w:type="dxa" w:w="172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Area</w:t>
            </w:r>
          </w:p>
        </w:tc>
        <w:tc>
          <w:tcPr>
            <w:tcW w:type="dxa" w:w="374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Current state</w:t>
            </w:r>
          </w:p>
        </w:tc>
        <w:tc>
          <w:tcPr>
            <w:tcW w:type="dxa" w:w="388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Production gap</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Experiment tracking</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Print statements; nothing persisted</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MLflow tracking for params, metrics, artefacts, input schema, environment hash</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registry</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Models trained and discarded in memory</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MLflow Model Registry with staged versions (None → Staging → Production → Archived)</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Model serialization</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Scaler saved in preprocess.py; RF and scorecard not persisted by run_pipeline.py</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Every production artefact (model, scaler, encoder, feature list) pickled with a content-addressable hash</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Configuration coverage</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TARGET, RANDOM_STATE, ID_COLUMNS, LEAKAGE_COLUMNS used. BASE_FEATURES, DRA_DIMENSIONS, CATEGORICAL_FEATURES not consumed by run_pipeline.py</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config.py is the single source of truth; every module imports from it</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Paths</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paths.py defined but run_pipeline.py and preprocess.py hardcode string paths</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All file I/O routes through paths.py; environment-aware (local vs. container vs. cluster)</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Dual code paths</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src/data/preprocess.py defines a full prep pipeline that is not invoked by run_pipeline.py — the pipeline inlines its own prep steps</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One authoritative preprocessing module; the entry point orchestrates and does not duplicate logic</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Feature leakage (minor)</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src/features/features.py computes .quantile(0.7) on the full frame before train/test split</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Quantile parameters learned on training fold only, fit inside a sklearn/Spark Pipeline so they travel with the model</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Data contracts</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Input schema is implicit in the Excel file</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Great Expectations suite enforcing dtypes, ranges, nulls, category membership at ingest</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Containerization</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None</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Docker images for (a) training runtime, (b) serving runtime; both built in CI</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CI / CD</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None</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GitHub Actions: lint → unit tests → integration test → build → publish</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Serving</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None</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FastAPI POST /score backed by the Production-stage model from the registry</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Orchestration</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Single Python script</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DAG with explicit retries, idempotency, logging, alerting</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Monitoring</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Print statements at train time</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PSI/KS drift on features and scores; performance monitoring on a rolling out-of-time window; alerting on breach</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Governance artefacts</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None</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card, reason codes (SHAP-based), champion/challenger harness, audit trail</w:t>
            </w:r>
          </w:p>
        </w:tc>
      </w:tr>
    </w:tbl>
    <w:p>
      <w:pPr>
        <w:pStyle w:val="Heading2"/>
      </w:pPr>
      <w:r>
        <w:t>2.5 Outstanding risk to flag</w:t>
      </w:r>
    </w:p>
    <w:p>
      <w:r>
        <w:t>The most important open item from the 2026-04-06 review is resolved: ID-pattern drops and performance-window leakage are both handled via explicit lists and enforced by test_config.py. The remaining concern is the quantile computation in src/features/features.py, which runs before the train/test split. At 45k rows this effect is small, but it is the kind of leakage that will be cited in a model validation report, and it is worth fixing before any production deployment by moving the quantile into a fitted transformer (sklearn's FunctionTransformer with a fit step, or a Spark ML Estimator/Transformer pair).</w:t>
      </w:r>
    </w:p>
    <w:p>
      <w:r>
        <w:br w:type="page"/>
      </w:r>
    </w:p>
    <w:p>
      <w:pPr>
        <w:pStyle w:val="Heading1"/>
      </w:pPr>
      <w:r>
        <w:t>3. Design Principles</w:t>
      </w:r>
    </w:p>
    <w:p>
      <w:r>
        <w:t>Before picking tools, agree the principles. These are the lenses every subsequent decision in this document is filtered through.</w:t>
      </w:r>
    </w:p>
    <w:p>
      <w:pPr>
        <w:pStyle w:val="Heading2"/>
      </w:pPr>
      <w:r>
        <w:t>3.1 Local-first, analogous-to-production</w:t>
      </w:r>
    </w:p>
    <w:p>
      <w:r>
        <w:t>Every production component has a local analogue that reproduces the relevant concept. Snowflake → DuckDB gives warehouse semantics without a cloud account. Databricks → local PySpark + a local MLflow server gives distributed-compute patterns without a paid workspace. Kubernetes → minikube gives real container orchestration. The learning investment is in the concepts (lakehouse patterns, experiment tracking, pod lifecycles, service discovery), which transfer directly when the same code is lifted into paid cloud services later.</w:t>
      </w:r>
    </w:p>
    <w:p>
      <w:pPr>
        <w:pStyle w:val="Heading2"/>
      </w:pPr>
      <w:r>
        <w:t>3.2 Deterministic builds</w:t>
      </w:r>
    </w:p>
    <w:p>
      <w:r>
        <w:t>Everything that affects model output is pinned: Python version, library versions, random seeds, input data snapshot, and the Git commit that produced the model. A production score at any point in time must be reproducible by anyone with access to the Git history and the data snapshot. MLflow captures these inputs automatically; Docker images capture the runtime; Poetry or uv capture the dependency graph.</w:t>
      </w:r>
    </w:p>
    <w:p>
      <w:pPr>
        <w:pStyle w:val="Heading2"/>
      </w:pPr>
      <w:r>
        <w:t>3.3 Separation of concerns</w:t>
      </w:r>
    </w:p>
    <w:p>
      <w:r>
        <w:t>Five clear layers — ingest, feature engineering, training, batch scoring, real-time serving — each with its own entry point, tests, and interfaces. No layer reaches into another's internals. The active pipeline today does respect this at the module level; the production version will formalise it at the deployment boundary as well.</w:t>
      </w:r>
    </w:p>
    <w:p>
      <w:pPr>
        <w:pStyle w:val="Heading2"/>
      </w:pPr>
      <w:r>
        <w:t>3.4 Governance by default</w:t>
      </w:r>
    </w:p>
    <w:p>
      <w:r>
        <w:t>Model explanations, reason codes, model cards, and drift monitoring are first-class deliverables of every training run — not artefacts that are reconstructed later. SR 11-7-aligned thinking is cheaper to add at build time than to retrofit under audit pressure.</w:t>
      </w:r>
    </w:p>
    <w:p>
      <w:pPr>
        <w:pStyle w:val="Heading2"/>
      </w:pPr>
      <w:r>
        <w:t>3.5 Testable at every layer</w:t>
      </w:r>
    </w:p>
    <w:p>
      <w:r>
        <w:t>Unit tests for data transformations (pytest). Contract tests for the serving API (schema and latency). Model tests for invariance and directional monotonicity. Integration tests that run the batch DAG end-to-end on a sample. tests/test_config.py is the seed of this — the production build grows the test pyramid outward from it.</w:t>
      </w:r>
    </w:p>
    <w:p>
      <w:r>
        <w:br w:type="page"/>
      </w:r>
    </w:p>
    <w:p>
      <w:pPr>
        <w:pStyle w:val="Heading1"/>
      </w:pPr>
      <w:r>
        <w:t>4. Target Architecture</w:t>
      </w:r>
    </w:p>
    <w:p>
      <w:pPr>
        <w:pStyle w:val="Heading2"/>
      </w:pPr>
      <w:r>
        <w:t>4.1 High-level view</w:t>
      </w:r>
    </w:p>
    <w:p>
      <w:r>
        <w:t>The architecture is a lakehouse-style ML platform with a clean separation between (a) the analytics plane where data and models live, and (b) the serving plane where scores are produced for consumers. Both planes share the same model registry as the single source of truth for what is deployable.</w:t>
      </w:r>
    </w:p>
    <w:p>
      <w:pPr>
        <w:shd w:val="clear" w:color="auto" w:fill="F2F2F2"/>
        <w:spacing w:after="80"/>
        <w:ind w:left="288"/>
      </w:pPr>
      <w:r>
        <w:rPr>
          <w:rFonts w:ascii="Consolas" w:hAnsi="Consolas"/>
          <w:color w:val="333333"/>
          <w:sz w:val="18"/>
        </w:rPr>
        <w:t>┌──────────────────────────────────────────────────────────────────────┐</w:t>
        <w:br/>
        <w:t>│                         ANALYTICS PLANE                              │</w:t>
        <w:br/>
        <w:t>│                                                                      │</w:t>
        <w:br/>
        <w:t>│    ┌──────────────┐    ┌──────────────────┐   ┌──────────────────┐   │</w:t>
        <w:br/>
        <w:t>│    │  Snowflake   │ →  │  Databricks      │ → │  MLflow Registry │   │</w:t>
        <w:br/>
        <w:t>│    │  (raw /      │    │  (PySpark +      │   │  (model lifecycle│   │</w:t>
        <w:br/>
        <w:t>│    │  staging /   │    │  MLflow tracking │   │  stages)         │   │</w:t>
        <w:br/>
        <w:t>│    │  marts)      │    │  + Workflows)    │   │                  │   │</w:t>
        <w:br/>
        <w:t>│    └──────────────┘    └──────────────────┘   └────────┬─────────┘   │</w:t>
        <w:br/>
        <w:t>│           ↑                     ↑                      │             │</w:t>
        <w:br/>
        <w:t>│   Great Expectations   feature engineering             │             │</w:t>
        <w:br/>
        <w:t>│   (contracts @ ingest)    training                     │             │</w:t>
        <w:br/>
        <w:t>│                        batch scoring                   │             │</w:t>
        <w:br/>
        <w:t>└────────────────────────────────────────────────────────┼─────────────┘</w:t>
        <w:br/>
        <w:t xml:space="preserve">                                                         │</w:t>
        <w:br/>
        <w:t xml:space="preserve">            ┌────────────────────────────────────────────┘</w:t>
        <w:br/>
        <w:t xml:space="preserve">            │</w:t>
        <w:br/>
        <w:t>┌───────────▼────────────────────────────────────────────────────────┐</w:t>
        <w:br/>
        <w:t>│                         SERVING PLANE                              │</w:t>
        <w:br/>
        <w:t>│                                                                    │</w:t>
        <w:br/>
        <w:t>│    ┌────────────────┐      ┌───────────────┐    ┌──────────────┐   │</w:t>
        <w:br/>
        <w:t>│    │  FastAPI       │      │  Kubernetes   │    │  Prometheus  │   │</w:t>
        <w:br/>
        <w:t>│    │  /score        │ ───→ │  (Deployment, │ ─→ │  + Grafana   │   │</w:t>
        <w:br/>
        <w:t>│    │  /healthz      │      │  Service,     │    │  (drift +    │   │</w:t>
        <w:br/>
        <w:t>│    │  /readyz       │      │  HPA, Ingress)│    │  latency)    │   │</w:t>
        <w:br/>
        <w:t>│    └────────────────┘      └───────────────┘    └──────────────┘   │</w:t>
        <w:br/>
        <w:t>│                                                                    │</w:t>
        <w:br/>
        <w:t>└────────────────────────────────────────────────────────────────────┘</w:t>
        <w:br/>
        <w:br/>
        <w:t xml:space="preserve">Cross-cutting: GitHub Actions (CI/CD), Docker (packaging), </w:t>
        <w:br/>
        <w:t>Git (source of truth for code + model lineage via MLflow).</w:t>
      </w:r>
    </w:p>
    <w:p>
      <w:pPr>
        <w:pStyle w:val="Heading2"/>
      </w:pPr>
      <w:r>
        <w:t>4.2 Production / local component mapping</w:t>
      </w:r>
    </w:p>
    <w:p>
      <w:r>
        <w:t>Each row in the table below is the same concept realised in two ways. The code running in each environment is identical; only the backend URIs, credentials, and compute topology change. This is enforced by routing all configuration through src/config.py (or a successor settings module) and by using environment variables for anything that differs between deployments.</w:t>
      </w:r>
    </w:p>
    <w:tbl>
      <w:tblPr>
        <w:tblW w:type="auto" w:w="0"/>
        <w:jc w:val="left"/>
        <w:tblLook w:firstColumn="1" w:firstRow="1" w:lastColumn="0" w:lastRow="0" w:noHBand="0" w:noVBand="1" w:val="04A0"/>
      </w:tblPr>
      <w:tblGrid>
        <w:gridCol w:w="3120"/>
        <w:gridCol w:w="3120"/>
        <w:gridCol w:w="3120"/>
      </w:tblGrid>
      <w:tr>
        <w:tc>
          <w:tcPr>
            <w:tcW w:type="dxa" w:w="230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Concern</w:t>
            </w:r>
          </w:p>
        </w:tc>
        <w:tc>
          <w:tcPr>
            <w:tcW w:type="dxa" w:w="3456"/>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Production</w:t>
            </w:r>
          </w:p>
        </w:tc>
        <w:tc>
          <w:tcPr>
            <w:tcW w:type="dxa" w:w="3600"/>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Local learning equivalent</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Warehouse</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Snowflake (raw/staging/marts schemas)</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DuckDB file (.duckdb) or Postgres container</w:t>
            </w:r>
          </w:p>
        </w:tc>
      </w:tr>
      <w:tr>
        <w:tc>
          <w:tcPr>
            <w:tcW w:type="dxa" w:w="230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Distributed compute</w:t>
            </w:r>
          </w:p>
        </w:tc>
        <w:tc>
          <w:tcPr>
            <w:tcW w:type="dxa" w:w="345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Databricks on AWS/Azure/GCP</w:t>
            </w:r>
          </w:p>
        </w:tc>
        <w:tc>
          <w:tcPr>
            <w:tcW w:type="dxa" w:w="360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Local PySpark (single-node) or spark-submit in a Docker container</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Experiment tracking</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MLflow on Databricks</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Local MLflow tracking server (sqlite backend, file artefact store)</w:t>
            </w:r>
          </w:p>
        </w:tc>
      </w:tr>
      <w:tr>
        <w:tc>
          <w:tcPr>
            <w:tcW w:type="dxa" w:w="230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registry</w:t>
            </w:r>
          </w:p>
        </w:tc>
        <w:tc>
          <w:tcPr>
            <w:tcW w:type="dxa" w:w="345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Databricks / MLflow Registry</w:t>
            </w:r>
          </w:p>
        </w:tc>
        <w:tc>
          <w:tcPr>
            <w:tcW w:type="dxa" w:w="360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Same MLflow server — local registry mirrors production semantics</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Batch orchestration</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Databricks Workflows</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Makefile (minimal) + Prefect (for DAG UI and retries)</w:t>
            </w:r>
          </w:p>
        </w:tc>
      </w:tr>
      <w:tr>
        <w:tc>
          <w:tcPr>
            <w:tcW w:type="dxa" w:w="230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Data contracts</w:t>
            </w:r>
          </w:p>
        </w:tc>
        <w:tc>
          <w:tcPr>
            <w:tcW w:type="dxa" w:w="345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Great Expectations on Databricks</w:t>
            </w:r>
          </w:p>
        </w:tc>
        <w:tc>
          <w:tcPr>
            <w:tcW w:type="dxa" w:w="360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Great Expectations run locally, results published to a static HTML Data Docs site</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Serving runtime</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Kubernetes (EKS / AKS / GKE)</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minikube (single-node cluster on Docker Desktop)</w:t>
            </w:r>
          </w:p>
        </w:tc>
      </w:tr>
      <w:tr>
        <w:tc>
          <w:tcPr>
            <w:tcW w:type="dxa" w:w="230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Container registry</w:t>
            </w:r>
          </w:p>
        </w:tc>
        <w:tc>
          <w:tcPr>
            <w:tcW w:type="dxa" w:w="345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ECR / ACR / GCR</w:t>
            </w:r>
          </w:p>
        </w:tc>
        <w:tc>
          <w:tcPr>
            <w:tcW w:type="dxa" w:w="360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Local Docker daemon or a minikube-hosted registry</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Secrets</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Cloud KMS + k8s Secrets</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.env files excluded from Git + k8s Secrets in minikube</w:t>
            </w:r>
          </w:p>
        </w:tc>
      </w:tr>
      <w:tr>
        <w:tc>
          <w:tcPr>
            <w:tcW w:type="dxa" w:w="230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Monitoring</w:t>
            </w:r>
          </w:p>
        </w:tc>
        <w:tc>
          <w:tcPr>
            <w:tcW w:type="dxa" w:w="345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Prometheus + Grafana + managed alerting</w:t>
            </w:r>
          </w:p>
        </w:tc>
        <w:tc>
          <w:tcPr>
            <w:tcW w:type="dxa" w:w="360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Prometheus + Grafana in Docker Compose or deployed into minikube</w:t>
            </w:r>
          </w:p>
        </w:tc>
      </w:tr>
      <w:tr>
        <w:tc>
          <w:tcPr>
            <w:tcW w:type="dxa" w:w="2304"/>
            <w:tcBorders>
              <w:top w:val="single" w:sz="4" w:space="0" w:color="BFBFBF"/>
              <w:left w:val="single" w:sz="4" w:space="0" w:color="BFBFBF"/>
              <w:bottom w:val="single" w:sz="4" w:space="0" w:color="BFBFBF"/>
              <w:right w:val="single" w:sz="4" w:space="0" w:color="BFBFBF"/>
            </w:tcBorders>
            <w:vAlign w:val="top"/>
          </w:tcPr>
          <w:p>
            <w:r/>
            <w:r>
              <w:rPr>
                <w:sz w:val="19"/>
              </w:rPr>
              <w:t>CI</w:t>
            </w:r>
          </w:p>
        </w:tc>
        <w:tc>
          <w:tcPr>
            <w:tcW w:type="dxa" w:w="3456"/>
            <w:tcBorders>
              <w:top w:val="single" w:sz="4" w:space="0" w:color="BFBFBF"/>
              <w:left w:val="single" w:sz="4" w:space="0" w:color="BFBFBF"/>
              <w:bottom w:val="single" w:sz="4" w:space="0" w:color="BFBFBF"/>
              <w:right w:val="single" w:sz="4" w:space="0" w:color="BFBFBF"/>
            </w:tcBorders>
            <w:vAlign w:val="top"/>
          </w:tcPr>
          <w:p>
            <w:r/>
            <w:r>
              <w:rPr>
                <w:sz w:val="19"/>
              </w:rPr>
              <w:t>GitHub Actions (hosted runners)</w:t>
            </w:r>
          </w:p>
        </w:tc>
        <w:tc>
          <w:tcPr>
            <w:tcW w:type="dxa" w:w="3600"/>
            <w:tcBorders>
              <w:top w:val="single" w:sz="4" w:space="0" w:color="BFBFBF"/>
              <w:left w:val="single" w:sz="4" w:space="0" w:color="BFBFBF"/>
              <w:bottom w:val="single" w:sz="4" w:space="0" w:color="BFBFBF"/>
              <w:right w:val="single" w:sz="4" w:space="0" w:color="BFBFBF"/>
            </w:tcBorders>
            <w:vAlign w:val="top"/>
          </w:tcPr>
          <w:p>
            <w:r/>
            <w:r>
              <w:rPr>
                <w:sz w:val="19"/>
              </w:rPr>
              <w:t>GitHub Actions with act for local runs</w:t>
            </w:r>
          </w:p>
        </w:tc>
      </w:tr>
    </w:tbl>
    <w:p>
      <w:pPr>
        <w:pStyle w:val="Heading2"/>
      </w:pPr>
      <w:r>
        <w:t>4.3 What each component is responsible for</w:t>
      </w:r>
    </w:p>
    <w:p>
      <w:r>
        <w:rPr>
          <w:b/>
          <w:sz w:val="22"/>
        </w:rPr>
        <w:t>Snowflake (or DuckDB).</w:t>
      </w:r>
    </w:p>
    <w:p>
      <w:r>
        <w:t>The system of record for raw inputs and modelled outputs. Three logical schemas: raw (landing zone for bureau files, application data, DRA scores), staging (typed, lightly cleaned), marts (wide tables used by training and scoring). Time travel is used for reproducibility: every MLflow run records the snapshot timestamp of the mart it read.</w:t>
      </w:r>
    </w:p>
    <w:p>
      <w:r>
        <w:rPr>
          <w:b/>
          <w:sz w:val="22"/>
        </w:rPr>
        <w:t>Databricks (or local PySpark + MLflow).</w:t>
      </w:r>
    </w:p>
    <w:p>
      <w:r>
        <w:t>The compute plane where feature engineering, training, and batch scoring jobs run. PySpark is the programming model. MLflow is embedded in every job — params, metrics, artefacts, the model itself, and the input example are all logged under a named experiment. Databricks Workflows orchestrate the DAG.</w:t>
      </w:r>
    </w:p>
    <w:p>
      <w:r>
        <w:rPr>
          <w:b/>
          <w:sz w:val="22"/>
        </w:rPr>
        <w:t>FastAPI + Kubernetes.</w:t>
      </w:r>
    </w:p>
    <w:p>
      <w:r>
        <w:t>A thin Python service exposing POST /score. The model is loaded from the MLflow Production stage on startup. The service is stateless and horizontally scalable; Kubernetes HorizontalPodAutoscaler manages replicas based on CPU.</w:t>
      </w:r>
    </w:p>
    <w:p>
      <w:r>
        <w:rPr>
          <w:b/>
          <w:sz w:val="22"/>
        </w:rPr>
        <w:t>GitHub Actions.</w:t>
      </w:r>
    </w:p>
    <w:p>
      <w:r>
        <w:t>The quality gate. No code reaches the registry or the serving cluster without passing lint, unit tests, and an integration test that trains a model on a sample and scores a fixed record.</w:t>
      </w:r>
    </w:p>
    <w:p>
      <w:r>
        <w:br w:type="page"/>
      </w:r>
    </w:p>
    <w:p>
      <w:pPr>
        <w:pStyle w:val="Heading1"/>
      </w:pPr>
      <w:r>
        <w:t>5. Data Layer</w:t>
      </w:r>
    </w:p>
    <w:p>
      <w:pPr>
        <w:pStyle w:val="Heading2"/>
      </w:pPr>
      <w:r>
        <w:t>5.1 Schema design</w:t>
      </w:r>
    </w:p>
    <w:p>
      <w:r>
        <w:t>The warehouse is organised in the standard three-tier pattern. Each tier is addressable by a fully qualified name (CREDIT_DB.RAW.APPLICATION, CREDIT_DB.STAGING.APPLICATION_CLEAN, CREDIT_DB.MARTS.APPLICANT_FEATURES) so that code reads and writes at a defined logical layer.</w:t>
      </w:r>
    </w:p>
    <w:tbl>
      <w:tblPr>
        <w:tblW w:type="auto" w:w="0"/>
        <w:jc w:val="left"/>
        <w:tblLook w:firstColumn="1" w:firstRow="1" w:lastColumn="0" w:lastRow="0" w:noHBand="0" w:noVBand="1" w:val="04A0"/>
      </w:tblPr>
      <w:tblGrid>
        <w:gridCol w:w="3120"/>
        <w:gridCol w:w="3120"/>
        <w:gridCol w:w="3120"/>
      </w:tblGrid>
      <w:tr>
        <w:tc>
          <w:tcPr>
            <w:tcW w:type="dxa" w:w="172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Schema</w:t>
            </w:r>
          </w:p>
        </w:tc>
        <w:tc>
          <w:tcPr>
            <w:tcW w:type="dxa" w:w="374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Purpose</w:t>
            </w:r>
          </w:p>
        </w:tc>
        <w:tc>
          <w:tcPr>
            <w:tcW w:type="dxa" w:w="388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Typical transformations</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raw</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Landing zone for vendor files and extracts. Never modified after load.</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None — as-is load with source timestamp</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staging</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Typed, lightly cleaned, deduplicated. One row per business entity per valid-from date.</w:t>
            </w:r>
          </w:p>
        </w:tc>
        <w:tc>
          <w:tcPr>
            <w:tcW w:type="dxa" w:w="388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Type coercion, trimming, null standardisation, PII hashing</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marts</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Wide, model-ready tables consumed by training and scoring jobs. Versioned.</w:t>
            </w:r>
          </w:p>
        </w:tc>
        <w:tc>
          <w:tcPr>
            <w:tcW w:type="dxa" w:w="3888"/>
            <w:tcBorders>
              <w:top w:val="single" w:sz="4" w:space="0" w:color="BFBFBF"/>
              <w:left w:val="single" w:sz="4" w:space="0" w:color="BFBFBF"/>
              <w:bottom w:val="single" w:sz="4" w:space="0" w:color="BFBFBF"/>
              <w:right w:val="single" w:sz="4" w:space="0" w:color="BFBFBF"/>
            </w:tcBorders>
            <w:vAlign w:val="top"/>
          </w:tcPr>
          <w:p>
            <w:r/>
            <w:r>
              <w:rPr>
                <w:sz w:val="19"/>
              </w:rPr>
              <w:t>Joins, feature assembly, point-in-time correctness, snapshotting</w:t>
            </w:r>
          </w:p>
        </w:tc>
      </w:tr>
    </w:tbl>
    <w:p>
      <w:pPr>
        <w:pStyle w:val="Heading2"/>
      </w:pPr>
      <w:r>
        <w:t>5.2 Point-in-time correctness</w:t>
      </w:r>
    </w:p>
    <w:p>
      <w:r>
        <w:t>This is the single most important data-layer requirement for a credit model. The training set must contain only information that was available at the time the credit decision would have been made. Every feature row in the mart therefore carries two timestamps: feature_as_of (when the feature was observed) and target_observed_at (when the outcome bad/good was recorded). The performance-window leakage fixed in Phase 3 was the obvious version of this — the production pipeline hardens it by enforcing feature_as_of &lt; target_observed_at at the warehouse layer.</w:t>
      </w:r>
    </w:p>
    <w:p>
      <w:pPr>
        <w:pStyle w:val="Heading2"/>
      </w:pPr>
      <w:r>
        <w:t>5.3 Data contracts with Great Expectations</w:t>
      </w:r>
    </w:p>
    <w:p>
      <w:r>
        <w:t>At the raw → staging boundary, a Great Expectations suite runs as the first step of the orchestrated DAG. A failing suite stops the pipeline and fires an alert; it does not silently continue. The initial suite covers the invariants that matter for this project:</w:t>
      </w:r>
    </w:p>
    <w:p>
      <w:pPr>
        <w:pStyle w:val="ListBullet"/>
        <w:ind w:left="360"/>
      </w:pPr>
      <w:r>
        <w:rPr>
          <w:sz w:val="22"/>
        </w:rPr>
        <w:t>Row count within an expected range (detects partial loads).</w:t>
      </w:r>
    </w:p>
    <w:p>
      <w:pPr>
        <w:pStyle w:val="ListBullet"/>
        <w:ind w:left="360"/>
      </w:pPr>
      <w:r>
        <w:rPr>
          <w:sz w:val="22"/>
        </w:rPr>
        <w:t>Primary keys are unique and non-null.</w:t>
      </w:r>
    </w:p>
    <w:p>
      <w:pPr>
        <w:pStyle w:val="ListBullet"/>
        <w:ind w:left="360"/>
      </w:pPr>
      <w:r>
        <w:rPr>
          <w:sz w:val="22"/>
        </w:rPr>
        <w:t>Target column (bad) is in {0, 1} with a base rate inside a tolerance band around the historical 24 percent.</w:t>
      </w:r>
    </w:p>
    <w:p>
      <w:pPr>
        <w:pStyle w:val="ListBullet"/>
        <w:ind w:left="360"/>
      </w:pPr>
      <w:r>
        <w:rPr>
          <w:sz w:val="22"/>
        </w:rPr>
        <w:t>DRA dimension columns are numeric and within their documented ranges.</w:t>
      </w:r>
    </w:p>
    <w:p>
      <w:pPr>
        <w:pStyle w:val="ListBullet"/>
        <w:ind w:left="360"/>
      </w:pPr>
      <w:r>
        <w:rPr>
          <w:sz w:val="22"/>
        </w:rPr>
        <w:t>Categorical features are in the expected domain (e.g., marital_status ∈ {Single, Married, Divorced, Widowed, Other}).</w:t>
      </w:r>
    </w:p>
    <w:p>
      <w:pPr>
        <w:pStyle w:val="ListBullet"/>
        <w:ind w:left="360"/>
      </w:pPr>
      <w:r>
        <w:rPr>
          <w:sz w:val="22"/>
        </w:rPr>
        <w:t>No column listed in LEAKAGE_COLUMNS is present in the marts-layer feature table. This elevates the existing test_config.py check to a runtime data-layer guarantee.</w:t>
      </w:r>
    </w:p>
    <w:p>
      <w:pPr>
        <w:pStyle w:val="Heading2"/>
      </w:pPr>
      <w:r>
        <w:t>5.4 Local analogue: DuckDB</w:t>
      </w:r>
    </w:p>
    <w:p>
      <w:r>
        <w:t>For learning, Snowflake is replaced with a single .duckdb file. DuckDB supports SQL at a level that is compatible with Snowflake for the kinds of queries this project issues (joins, window functions, time-travel via snapshots). The same SQL written against DuckDB will mostly run unchanged on Snowflake; the differences are in DDL (grants, warehouses) rather than DML. This means the learning investment transfers directly.</w:t>
      </w:r>
    </w:p>
    <w:p>
      <w:r>
        <w:rPr>
          <w:b/>
          <w:sz w:val="22"/>
        </w:rPr>
        <w:t>Suggested local setup:</w:t>
      </w:r>
    </w:p>
    <w:p>
      <w:pPr>
        <w:shd w:val="clear" w:color="auto" w:fill="F2F2F2"/>
        <w:spacing w:after="80"/>
        <w:ind w:left="288"/>
      </w:pPr>
      <w:r>
        <w:rPr>
          <w:rFonts w:ascii="Consolas" w:hAnsi="Consolas"/>
          <w:color w:val="333333"/>
          <w:sz w:val="18"/>
        </w:rPr>
        <w:t>pip install duckdb great_expectations</w:t>
        <w:br/>
        <w:t>python -c "import duckdb; duckdb.connect('warehouse/credit.duckdb')"</w:t>
        <w:br/>
        <w:t># Load the Excel into raw.application:</w:t>
        <w:br/>
        <w:t>COPY raw.application FROM 'data/raw/DRA_with_simulated_credit.xlsx';</w:t>
      </w:r>
    </w:p>
    <w:p>
      <w:r>
        <w:br w:type="page"/>
      </w:r>
    </w:p>
    <w:p>
      <w:pPr>
        <w:pStyle w:val="Heading1"/>
      </w:pPr>
      <w:r>
        <w:t>6. Feature Engineering on Spark</w:t>
      </w:r>
    </w:p>
    <w:p>
      <w:pPr>
        <w:pStyle w:val="Heading2"/>
      </w:pPr>
      <w:r>
        <w:t>6.1 Why PySpark at 45k rows</w:t>
      </w:r>
    </w:p>
    <w:p>
      <w:r>
        <w:t>Honestly, for 45,000 rows PySpark is gratuitous. pandas handles this dataset in milliseconds. The reason it belongs in the architecture is learning value: almost every credit-risk team in the wild runs feature engineering on Spark (usually via Databricks), and the programming model is different enough from pandas that it needs real exposure. The production architecture is designed as if the dataset will grow to tens of millions of rows, because the cost of writing the code that way now is low and the cost of rewriting later is high.</w:t>
      </w:r>
    </w:p>
    <w:p>
      <w:pPr>
        <w:pStyle w:val="Heading2"/>
      </w:pPr>
      <w:r>
        <w:t>6.2 From pandas to Spark</w:t>
      </w:r>
    </w:p>
    <w:p>
      <w:r>
        <w:t>The current feature logic in src/features/features.py is straightforward row-wise arithmetic (flags, ratios, interactions). Porting to PySpark is a near-mechanical translation — every pandas expression has a Spark SQL or DataFrame equivalent. The one substantive change is how the 70th-percentile quantile used in high_risk_flag is computed, which matters because of point 6.3.</w:t>
      </w:r>
    </w:p>
    <w:p>
      <w:pPr>
        <w:pStyle w:val="Heading2"/>
      </w:pPr>
      <w:r>
        <w:t>6.3 Fixing the pre-split quantile</w:t>
      </w:r>
    </w:p>
    <w:p>
      <w:r>
        <w:t>The quantile is a parameter learned from data. If it is computed on the full frame, the training fold has seen information from the test fold, however marginally. The correct shape for this in a production pipeline is a fitted transformer:</w:t>
      </w:r>
    </w:p>
    <w:p>
      <w:pPr>
        <w:shd w:val="clear" w:color="auto" w:fill="F2F2F2"/>
        <w:spacing w:after="80"/>
        <w:ind w:left="288"/>
      </w:pPr>
      <w:r>
        <w:rPr>
          <w:rFonts w:ascii="Consolas" w:hAnsi="Consolas"/>
          <w:color w:val="333333"/>
          <w:sz w:val="18"/>
        </w:rPr>
        <w:t># sklearn version (recommended for the scorecard / RF path)</w:t>
        <w:br/>
        <w:t>from sklearn.base import BaseEstimator, TransformerMixin</w:t>
        <w:br/>
        <w:br/>
        <w:t>class QuantileFlag(BaseEstimator, TransformerMixin):</w:t>
        <w:br/>
        <w:t xml:space="preserve">    def __init__(self, column, quantile=0.7):</w:t>
        <w:br/>
        <w:t xml:space="preserve">        self.column, self.quantile = column, quantile</w:t>
        <w:br/>
        <w:t xml:space="preserve">    def fit(self, X, y=None):</w:t>
        <w:br/>
        <w:t xml:space="preserve">        self.threshold_ = X[self.column].quantile(self.quantile)</w:t>
        <w:br/>
        <w:t xml:space="preserve">        return self</w:t>
        <w:br/>
        <w:t xml:space="preserve">    def transform(self, X):</w:t>
        <w:br/>
        <w:t xml:space="preserve">        X = X.copy()</w:t>
        <w:br/>
        <w:t xml:space="preserve">        X["high_risk_flag"] = (X[self.column] &gt;= self.threshold_).astype(int)</w:t>
        <w:br/>
        <w:t xml:space="preserve">        return X</w:t>
      </w:r>
    </w:p>
    <w:p>
      <w:r>
        <w:t>The fitted threshold_ travels with the model, so at scoring time the same threshold is applied. In Spark ML the equivalent is a pair of Estimator and Transformer classes, joined with the rest of the feature pipeline in a spark.ml.Pipeline. Either way, the quantile is never computed on the test fold.</w:t>
      </w:r>
    </w:p>
    <w:p>
      <w:pPr>
        <w:pStyle w:val="Heading2"/>
      </w:pPr>
      <w:r>
        <w:t>6.4 Feature versioning</w:t>
      </w:r>
    </w:p>
    <w:p>
      <w:r>
        <w:t>A dedicated feature store (Feast, Tecton, Databricks Feature Store) is overkill for this project. A lighter alternative that captures the essential property — that features used at scoring time are the same features used at training time — is to serialise the fitted feature pipeline as a single MLflow artefact and load it alongside the model. This is the minimum viable feature store and is sufficient through Phase 6 or 7 of the roadmap.</w:t>
      </w:r>
    </w:p>
    <w:p>
      <w:r>
        <w:br w:type="page"/>
      </w:r>
    </w:p>
    <w:p>
      <w:pPr>
        <w:pStyle w:val="Heading1"/>
      </w:pPr>
      <w:r>
        <w:t>7. Training Pipeline and MLflow</w:t>
      </w:r>
    </w:p>
    <w:p>
      <w:pPr>
        <w:pStyle w:val="Heading2"/>
      </w:pPr>
      <w:r>
        <w:t>7.1 What to log on every run</w:t>
      </w:r>
    </w:p>
    <w:p>
      <w:r>
        <w:t>An MLflow run is the unit of reproducibility. Each training run records a structured envelope around the model, captured automatically where possible and explicitly where not.</w:t>
      </w:r>
    </w:p>
    <w:tbl>
      <w:tblPr>
        <w:tblW w:type="auto" w:w="0"/>
        <w:jc w:val="left"/>
        <w:tblLook w:firstColumn="1" w:firstRow="1" w:lastColumn="0" w:lastRow="0" w:noHBand="0" w:noVBand="1" w:val="04A0"/>
      </w:tblPr>
      <w:tblGrid>
        <w:gridCol w:w="3120"/>
        <w:gridCol w:w="3120"/>
        <w:gridCol w:w="3120"/>
      </w:tblGrid>
      <w:tr>
        <w:tc>
          <w:tcPr>
            <w:tcW w:type="dxa" w:w="172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Category</w:t>
            </w:r>
          </w:p>
        </w:tc>
        <w:tc>
          <w:tcPr>
            <w:tcW w:type="dxa" w:w="4320"/>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What to log</w:t>
            </w:r>
          </w:p>
        </w:tc>
        <w:tc>
          <w:tcPr>
            <w:tcW w:type="dxa" w:w="331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Why</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Parameters</w:t>
            </w:r>
          </w:p>
        </w:tc>
        <w:tc>
          <w:tcPr>
            <w:tcW w:type="dxa" w:w="4320"/>
            <w:tcBorders>
              <w:top w:val="single" w:sz="4" w:space="0" w:color="BFBFBF"/>
              <w:left w:val="single" w:sz="4" w:space="0" w:color="BFBFBF"/>
              <w:bottom w:val="single" w:sz="4" w:space="0" w:color="BFBFBF"/>
              <w:right w:val="single" w:sz="4" w:space="0" w:color="BFBFBF"/>
            </w:tcBorders>
            <w:vAlign w:val="top"/>
          </w:tcPr>
          <w:p>
            <w:r/>
            <w:r>
              <w:rPr>
                <w:sz w:val="19"/>
              </w:rPr>
              <w:t>Hyperparameters, feature list, split seed, quantile value, train/test split sizes</w:t>
            </w:r>
          </w:p>
        </w:tc>
        <w:tc>
          <w:tcPr>
            <w:tcW w:type="dxa" w:w="3312"/>
            <w:tcBorders>
              <w:top w:val="single" w:sz="4" w:space="0" w:color="BFBFBF"/>
              <w:left w:val="single" w:sz="4" w:space="0" w:color="BFBFBF"/>
              <w:bottom w:val="single" w:sz="4" w:space="0" w:color="BFBFBF"/>
              <w:right w:val="single" w:sz="4" w:space="0" w:color="BFBFBF"/>
            </w:tcBorders>
            <w:vAlign w:val="top"/>
          </w:tcPr>
          <w:p>
            <w:r/>
            <w:r>
              <w:rPr>
                <w:sz w:val="19"/>
              </w:rPr>
              <w:t>Reproducibility; debugging model drift across runs</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Metrics</w:t>
            </w:r>
          </w:p>
        </w:tc>
        <w:tc>
          <w:tcPr>
            <w:tcW w:type="dxa" w:w="432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AUC, Gini, KS, log-loss, calibration slope/intercept, base rate, bad rate in train/test</w:t>
            </w:r>
          </w:p>
        </w:tc>
        <w:tc>
          <w:tcPr>
            <w:tcW w:type="dxa" w:w="331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Performance comparison and monitoring over time</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Artefacts</w:t>
            </w:r>
          </w:p>
        </w:tc>
        <w:tc>
          <w:tcPr>
            <w:tcW w:type="dxa" w:w="4320"/>
            <w:tcBorders>
              <w:top w:val="single" w:sz="4" w:space="0" w:color="BFBFBF"/>
              <w:left w:val="single" w:sz="4" w:space="0" w:color="BFBFBF"/>
              <w:bottom w:val="single" w:sz="4" w:space="0" w:color="BFBFBF"/>
              <w:right w:val="single" w:sz="4" w:space="0" w:color="BFBFBF"/>
            </w:tcBorders>
            <w:vAlign w:val="top"/>
          </w:tcPr>
          <w:p>
            <w:r/>
            <w:r>
              <w:rPr>
                <w:sz w:val="19"/>
              </w:rPr>
              <w:t>Fitted pipeline (preprocessing + model), input example, confusion matrix, KS plot, SHAP summary</w:t>
            </w:r>
          </w:p>
        </w:tc>
        <w:tc>
          <w:tcPr>
            <w:tcW w:type="dxa" w:w="3312"/>
            <w:tcBorders>
              <w:top w:val="single" w:sz="4" w:space="0" w:color="BFBFBF"/>
              <w:left w:val="single" w:sz="4" w:space="0" w:color="BFBFBF"/>
              <w:bottom w:val="single" w:sz="4" w:space="0" w:color="BFBFBF"/>
              <w:right w:val="single" w:sz="4" w:space="0" w:color="BFBFBF"/>
            </w:tcBorders>
            <w:vAlign w:val="top"/>
          </w:tcPr>
          <w:p>
            <w:r/>
            <w:r>
              <w:rPr>
                <w:sz w:val="19"/>
              </w:rPr>
              <w:t>Inspection, downstream reuse, validation packs</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signature</w:t>
            </w:r>
          </w:p>
        </w:tc>
        <w:tc>
          <w:tcPr>
            <w:tcW w:type="dxa" w:w="432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Schema of input features and output (probability, score, reason codes)</w:t>
            </w:r>
          </w:p>
        </w:tc>
        <w:tc>
          <w:tcPr>
            <w:tcW w:type="dxa" w:w="331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Enforces contract at load time; catches schema drift early</w:t>
            </w:r>
          </w:p>
        </w:tc>
      </w:tr>
      <w:tr>
        <w:tc>
          <w:tcPr>
            <w:tcW w:type="dxa" w:w="1728"/>
            <w:tcBorders>
              <w:top w:val="single" w:sz="4" w:space="0" w:color="BFBFBF"/>
              <w:left w:val="single" w:sz="4" w:space="0" w:color="BFBFBF"/>
              <w:bottom w:val="single" w:sz="4" w:space="0" w:color="BFBFBF"/>
              <w:right w:val="single" w:sz="4" w:space="0" w:color="BFBFBF"/>
            </w:tcBorders>
            <w:vAlign w:val="top"/>
          </w:tcPr>
          <w:p>
            <w:r/>
            <w:r>
              <w:rPr>
                <w:sz w:val="19"/>
              </w:rPr>
              <w:t>Tags</w:t>
            </w:r>
          </w:p>
        </w:tc>
        <w:tc>
          <w:tcPr>
            <w:tcW w:type="dxa" w:w="4320"/>
            <w:tcBorders>
              <w:top w:val="single" w:sz="4" w:space="0" w:color="BFBFBF"/>
              <w:left w:val="single" w:sz="4" w:space="0" w:color="BFBFBF"/>
              <w:bottom w:val="single" w:sz="4" w:space="0" w:color="BFBFBF"/>
              <w:right w:val="single" w:sz="4" w:space="0" w:color="BFBFBF"/>
            </w:tcBorders>
            <w:vAlign w:val="top"/>
          </w:tcPr>
          <w:p>
            <w:r/>
            <w:r>
              <w:rPr>
                <w:sz w:val="19"/>
              </w:rPr>
              <w:t>Git SHA, data snapshot ID, Python version, library versions</w:t>
            </w:r>
          </w:p>
        </w:tc>
        <w:tc>
          <w:tcPr>
            <w:tcW w:type="dxa" w:w="3312"/>
            <w:tcBorders>
              <w:top w:val="single" w:sz="4" w:space="0" w:color="BFBFBF"/>
              <w:left w:val="single" w:sz="4" w:space="0" w:color="BFBFBF"/>
              <w:bottom w:val="single" w:sz="4" w:space="0" w:color="BFBFBF"/>
              <w:right w:val="single" w:sz="4" w:space="0" w:color="BFBFBF"/>
            </w:tcBorders>
            <w:vAlign w:val="top"/>
          </w:tcPr>
          <w:p>
            <w:r/>
            <w:r>
              <w:rPr>
                <w:sz w:val="19"/>
              </w:rPr>
              <w:t>Auditability — any run can be reproduced from its tags</w:t>
            </w:r>
          </w:p>
        </w:tc>
      </w:tr>
      <w:tr>
        <w:tc>
          <w:tcPr>
            <w:tcW w:type="dxa" w:w="172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type</w:t>
            </w:r>
          </w:p>
        </w:tc>
        <w:tc>
          <w:tcPr>
            <w:tcW w:type="dxa" w:w="432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Scorecard (LR+calibrator) and RF logged as separate models in the same run</w:t>
            </w:r>
          </w:p>
        </w:tc>
        <w:tc>
          <w:tcPr>
            <w:tcW w:type="dxa" w:w="331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Champion/challenger comparison; clean handoff to the registry</w:t>
            </w:r>
          </w:p>
        </w:tc>
      </w:tr>
    </w:tbl>
    <w:p>
      <w:pPr>
        <w:pStyle w:val="Heading2"/>
      </w:pPr>
      <w:r>
        <w:t>7.2 Registry stages and promotion</w:t>
      </w:r>
    </w:p>
    <w:p>
      <w:r>
        <w:t>A model in MLflow Registry moves through four stages. Promotion between stages is an explicit action, not a side effect of training. This is the production governance hook — promotion to Production is the moment where model risk review and sign-off occur.</w:t>
      </w:r>
    </w:p>
    <w:tbl>
      <w:tblPr>
        <w:tblW w:type="auto" w:w="0"/>
        <w:jc w:val="left"/>
        <w:tblLook w:firstColumn="1" w:firstRow="1" w:lastColumn="0" w:lastRow="0" w:noHBand="0" w:noVBand="1" w:val="04A0"/>
      </w:tblPr>
      <w:tblGrid>
        <w:gridCol w:w="3120"/>
        <w:gridCol w:w="3120"/>
        <w:gridCol w:w="3120"/>
      </w:tblGrid>
      <w:tr>
        <w:tc>
          <w:tcPr>
            <w:tcW w:type="dxa" w:w="158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Stage</w:t>
            </w:r>
          </w:p>
        </w:tc>
        <w:tc>
          <w:tcPr>
            <w:tcW w:type="dxa" w:w="374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Meaning</w:t>
            </w:r>
          </w:p>
        </w:tc>
        <w:tc>
          <w:tcPr>
            <w:tcW w:type="dxa" w:w="403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Gate to next stage</w:t>
            </w:r>
          </w:p>
        </w:tc>
      </w:tr>
      <w:tr>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None</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Freshly registered; not validated</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Offline metrics meet minimum thresholds (AUC, KS, calibration)</w:t>
            </w:r>
          </w:p>
        </w:tc>
      </w:tr>
      <w:tr>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Staging</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Candidate for production; running in shadow or challenger mode</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validation sign-off; PSI stable on most recent four weeks</w:t>
            </w:r>
          </w:p>
        </w:tc>
      </w:tr>
      <w:tr>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Production</w:t>
            </w:r>
          </w:p>
        </w:tc>
        <w:tc>
          <w:tcPr>
            <w:tcW w:type="dxa" w:w="3744"/>
            <w:tcBorders>
              <w:top w:val="single" w:sz="4" w:space="0" w:color="BFBFBF"/>
              <w:left w:val="single" w:sz="4" w:space="0" w:color="BFBFBF"/>
              <w:bottom w:val="single" w:sz="4" w:space="0" w:color="BFBFBF"/>
              <w:right w:val="single" w:sz="4" w:space="0" w:color="BFBFBF"/>
            </w:tcBorders>
            <w:vAlign w:val="top"/>
          </w:tcPr>
          <w:p>
            <w:r/>
            <w:r>
              <w:rPr>
                <w:sz w:val="19"/>
              </w:rPr>
              <w:t>Serving live scores</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Only one Production version at a time per model name; superseded on promotion of next version</w:t>
            </w:r>
          </w:p>
        </w:tc>
      </w:tr>
      <w:tr>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Archived</w:t>
            </w:r>
          </w:p>
        </w:tc>
        <w:tc>
          <w:tcPr>
            <w:tcW w:type="dxa" w:w="374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Retired</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One-way. Archived models remain loadable for audit purposes indefinitely</w:t>
            </w:r>
          </w:p>
        </w:tc>
      </w:tr>
    </w:tbl>
    <w:p>
      <w:pPr>
        <w:pStyle w:val="Heading2"/>
      </w:pPr>
      <w:r>
        <w:t>7.3 Reproducibility anchors</w:t>
      </w:r>
    </w:p>
    <w:p>
      <w:r>
        <w:t>A production training job must be reproducible years after the fact. That means the run persists, at minimum, the inputs that determine the output of the model: the data snapshot, the code, and the runtime.</w:t>
      </w:r>
    </w:p>
    <w:p>
      <w:pPr>
        <w:pStyle w:val="ListBullet"/>
        <w:ind w:left="360"/>
      </w:pPr>
      <w:r>
        <w:rPr>
          <w:sz w:val="22"/>
        </w:rPr>
        <w:t>Data snapshot: Snowflake time-travel token (AT(TIMESTAMP =&gt; ...)) or DuckDB table version, logged as an MLflow tag.</w:t>
      </w:r>
    </w:p>
    <w:p>
      <w:pPr>
        <w:pStyle w:val="ListBullet"/>
        <w:ind w:left="360"/>
      </w:pPr>
      <w:r>
        <w:rPr>
          <w:sz w:val="22"/>
        </w:rPr>
        <w:t>Code: Git commit SHA and branch, logged as tags. Clean working-tree check before run, refused if dirty.</w:t>
      </w:r>
    </w:p>
    <w:p>
      <w:pPr>
        <w:pStyle w:val="ListBullet"/>
        <w:ind w:left="360"/>
      </w:pPr>
      <w:r>
        <w:rPr>
          <w:sz w:val="22"/>
        </w:rPr>
        <w:t>Runtime: Docker image digest logged as a tag. The image itself is rebuilt from pinned pyproject.toml / uv.lock.</w:t>
      </w:r>
    </w:p>
    <w:p>
      <w:pPr>
        <w:pStyle w:val="Heading2"/>
      </w:pPr>
      <w:r>
        <w:t>7.4 Champion / challenger</w:t>
      </w:r>
    </w:p>
    <w:p>
      <w:r>
        <w:t>The production scorecard is the champion. The RF (and any future model, e.g., LightGBM) is the challenger. Each training run logs both. In Staging, the challenger runs in shadow against live traffic — it sees the same feature vector, produces a score, and the result is logged but not returned to the caller. When a challenger consistently outperforms the champion on out-of-time data and has passed validation, it is promoted. This is the standard pattern for credit models and the architecture supports it out of the box because both models live in the same registry.</w:t>
      </w:r>
    </w:p>
    <w:p>
      <w:r>
        <w:br w:type="page"/>
      </w:r>
    </w:p>
    <w:p>
      <w:pPr>
        <w:pStyle w:val="Heading1"/>
      </w:pPr>
      <w:r>
        <w:t>8. Batch Scoring</w:t>
      </w:r>
    </w:p>
    <w:p>
      <w:pPr>
        <w:pStyle w:val="Heading2"/>
      </w:pPr>
      <w:r>
        <w:t>8.1 When batch is the right pattern</w:t>
      </w:r>
    </w:p>
    <w:p>
      <w:r>
        <w:t>Batch scoring suits any decision where the score can be computed ahead of being used: portfolio re-scoring, early-warning refreshes, collections prioritisation, monthly regulatory reporting. Origination scoring is real-time (Section 9). Most credit operations need both.</w:t>
      </w:r>
    </w:p>
    <w:p>
      <w:pPr>
        <w:pStyle w:val="Heading2"/>
      </w:pPr>
      <w:r>
        <w:t>8.2 The batch DAG</w:t>
      </w:r>
    </w:p>
    <w:p>
      <w:r>
        <w:t>The production batch DAG, expressed as a Databricks Workflow (or Prefect flow locally):</w:t>
      </w:r>
    </w:p>
    <w:p>
      <w:pPr>
        <w:shd w:val="clear" w:color="auto" w:fill="F2F2F2"/>
        <w:spacing w:after="80"/>
        <w:ind w:left="288"/>
      </w:pPr>
      <w:r>
        <w:rPr>
          <w:rFonts w:ascii="Consolas" w:hAnsi="Consolas"/>
          <w:color w:val="333333"/>
          <w:sz w:val="18"/>
        </w:rPr>
        <w:t>┌─────────────┐   ┌─────────────────┐   ┌───────────────┐</w:t>
        <w:br/>
        <w:t>│ Pull from   │→  │ Great           │→  │ Build feature │</w:t>
        <w:br/>
        <w:t>│ Snowflake   │   │ Expectations    │   │ mart (Spark)  │</w:t>
        <w:br/>
        <w:t>│ raw         │   │ suite           │   │               │</w:t>
        <w:br/>
        <w:t>└─────────────┘   └────────┬────────┘   └───────┬───────┘</w:t>
        <w:br/>
        <w:t xml:space="preserve">                           │ fail → alert       │</w:t>
        <w:br/>
        <w:t xml:space="preserve">                                                ▼</w:t>
        <w:br/>
        <w:t xml:space="preserve">                                   ┌────────────────────┐</w:t>
        <w:br/>
        <w:t xml:space="preserve">                                   │ Load Production    │</w:t>
        <w:br/>
        <w:t xml:space="preserve">                                   │ model from MLflow  │</w:t>
        <w:br/>
        <w:t xml:space="preserve">                                   └──────────┬─────────┘</w:t>
        <w:br/>
        <w:t xml:space="preserve">                                              │</w:t>
        <w:br/>
        <w:t xml:space="preserve">                                              ▼</w:t>
        <w:br/>
        <w:t xml:space="preserve">                                   ┌────────────────────┐</w:t>
        <w:br/>
        <w:t xml:space="preserve">                                   │ Score + reason     │</w:t>
        <w:br/>
        <w:t xml:space="preserve">                                   │ codes (SHAP)       │</w:t>
        <w:br/>
        <w:t xml:space="preserve">                                   └──────────┬─────────┘</w:t>
        <w:br/>
        <w:t xml:space="preserve">                                              │</w:t>
        <w:br/>
        <w:t xml:space="preserve">                                              ▼</w:t>
        <w:br/>
        <w:t xml:space="preserve">                                   ┌────────────────────┐</w:t>
        <w:br/>
        <w:t xml:space="preserve">                                   │ Write to Snowflake │</w:t>
        <w:br/>
        <w:t xml:space="preserve">                                   │ marts.scores +     │</w:t>
        <w:br/>
        <w:t xml:space="preserve">                                   │ monitoring metrics │</w:t>
        <w:br/>
        <w:t xml:space="preserve">                                   └────────────────────┘</w:t>
      </w:r>
    </w:p>
    <w:p>
      <w:pPr>
        <w:pStyle w:val="Heading2"/>
      </w:pPr>
      <w:r>
        <w:t>8.3 Idempotency and retries</w:t>
      </w:r>
    </w:p>
    <w:p>
      <w:r>
        <w:t>The write step is idempotent: re-running it on the same input produces the same output, and the target table is keyed by (applicant_id, scored_at, model_version). Retries therefore cannot corrupt the scores table. The orchestrator (Databricks Workflows, Prefect) handles the retry policy; the job code itself makes no assumptions about how many times it may be invoked.</w:t>
      </w:r>
    </w:p>
    <w:p>
      <w:pPr>
        <w:pStyle w:val="Heading2"/>
      </w:pPr>
      <w:r>
        <w:t>8.4 Local analogue</w:t>
      </w:r>
    </w:p>
    <w:p>
      <w:r>
        <w:t>Locally, the DAG is a Prefect flow run via prefect deploy + prefect worker start. This gives a real DAG UI at localhost:4200 and a retry semantics that matches production. A lighter-weight alternative during early development is a Makefile whose targets are ordered by dependency — useful for quick iteration but without the observability.</w:t>
      </w:r>
    </w:p>
    <w:p>
      <w:r>
        <w:br w:type="page"/>
      </w:r>
    </w:p>
    <w:p>
      <w:pPr>
        <w:pStyle w:val="Heading1"/>
      </w:pPr>
      <w:r>
        <w:t>9. Real-Time Serving (FastAPI on Kubernetes)</w:t>
      </w:r>
    </w:p>
    <w:p>
      <w:pPr>
        <w:pStyle w:val="Heading2"/>
      </w:pPr>
      <w:r>
        <w:t>9.1 API contract</w:t>
      </w:r>
    </w:p>
    <w:p>
      <w:r>
        <w:t>The service exposes a small, versioned contract. The contract is owned by the model team and changes require a version bump.</w:t>
      </w:r>
    </w:p>
    <w:p>
      <w:pPr>
        <w:shd w:val="clear" w:color="auto" w:fill="F2F2F2"/>
        <w:spacing w:after="80"/>
        <w:ind w:left="288"/>
      </w:pPr>
      <w:r>
        <w:rPr>
          <w:rFonts w:ascii="Consolas" w:hAnsi="Consolas"/>
          <w:color w:val="333333"/>
          <w:sz w:val="18"/>
        </w:rPr>
        <w:t>POST /v1/score</w:t>
        <w:br/>
        <w:t>Content-Type: application/json</w:t>
        <w:br/>
        <w:br/>
        <w:t>Request:</w:t>
        <w:br/>
        <w:t>{</w:t>
        <w:br/>
        <w:t xml:space="preserve">  "applicant_id": "A-000123",</w:t>
        <w:br/>
        <w:t xml:space="preserve">  "features": {</w:t>
        <w:br/>
        <w:t xml:space="preserve">     "age": 35,</w:t>
        <w:br/>
        <w:t xml:space="preserve">     "income": 48000,</w:t>
        <w:br/>
        <w:t xml:space="preserve">     "num_accounts_assess": 4,</w:t>
        <w:br/>
        <w:t xml:space="preserve">     "dra_conscientiousness": 0.72,</w:t>
        <w:br/>
        <w:t xml:space="preserve">     "... (all BASE_FEATURES + DRA_DIMENSIONS)"</w:t>
        <w:br/>
        <w:t xml:space="preserve">  }</w:t>
        <w:br/>
        <w:t>}</w:t>
        <w:br/>
        <w:br/>
        <w:t>Response 200:</w:t>
        <w:br/>
        <w:t>{</w:t>
        <w:br/>
        <w:t xml:space="preserve">  "applicant_id": "A-000123",</w:t>
        <w:br/>
        <w:t xml:space="preserve">  "probability_of_default": 0.071,</w:t>
        <w:br/>
        <w:t xml:space="preserve">  "credit_score": 684,</w:t>
        <w:br/>
        <w:t xml:space="preserve">  "reason_codes": [</w:t>
        <w:br/>
        <w:t xml:space="preserve">     {"feature": "num_accounts_assess", "direction": "increases_risk", "rank": 1},</w:t>
        <w:br/>
        <w:t xml:space="preserve">     {"feature": "dra_conscientiousness", "direction": "decreases_risk", "rank": 2},</w:t>
        <w:br/>
        <w:t xml:space="preserve">     {"feature": "age", "direction": "decreases_risk", "rank": 3}</w:t>
        <w:br/>
        <w:t xml:space="preserve">  ],</w:t>
        <w:br/>
        <w:t xml:space="preserve">  "model_name": "credit_scorecard",</w:t>
        <w:br/>
        <w:t xml:space="preserve">  "model_version": "17",</w:t>
        <w:br/>
        <w:t xml:space="preserve">  "scored_at": "2026-04-21T14:22:01Z"</w:t>
        <w:br/>
        <w:t>}</w:t>
        <w:br/>
        <w:br/>
        <w:t>GET /healthz   → 200 OK if process alive</w:t>
        <w:br/>
        <w:t>GET /readyz    → 200 OK if model loaded from registry</w:t>
        <w:br/>
        <w:t>GET /metrics   → Prometheus format (latency histogram, score histogram, error counts)</w:t>
      </w:r>
    </w:p>
    <w:p>
      <w:pPr>
        <w:pStyle w:val="Heading2"/>
      </w:pPr>
      <w:r>
        <w:t>9.2 Model loading</w:t>
      </w:r>
    </w:p>
    <w:p>
      <w:r>
        <w:t>The service loads the Production-stage model from MLflow on startup via mlflow.pyfunc.load_model("models:/credit_scorecard/Production"). It does not reload during its lifetime; promotion of a new model version is reflected by rolling the Deployment, which Kubernetes handles without downtime. This is deliberate: a service that hot-swaps its model is harder to reason about and to audit.</w:t>
      </w:r>
    </w:p>
    <w:p>
      <w:pPr>
        <w:pStyle w:val="Heading2"/>
      </w:pPr>
      <w:r>
        <w:t>9.3 Kubernetes objects</w:t>
      </w:r>
    </w:p>
    <w:p>
      <w:r>
        <w:t>A minimal production deployment is six Kubernetes objects:</w:t>
      </w:r>
    </w:p>
    <w:tbl>
      <w:tblPr>
        <w:tblW w:type="auto" w:w="0"/>
        <w:jc w:val="left"/>
        <w:tblLook w:firstColumn="1" w:firstRow="1" w:lastColumn="0" w:lastRow="0" w:noHBand="0" w:noVBand="1" w:val="04A0"/>
      </w:tblPr>
      <w:tblGrid>
        <w:gridCol w:w="4680"/>
        <w:gridCol w:w="4680"/>
      </w:tblGrid>
      <w:tr>
        <w:tc>
          <w:tcPr>
            <w:tcW w:type="dxa" w:w="259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Object</w:t>
            </w:r>
          </w:p>
        </w:tc>
        <w:tc>
          <w:tcPr>
            <w:tcW w:type="dxa" w:w="676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Purpose</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Deployment</w:t>
            </w:r>
          </w:p>
        </w:tc>
        <w:tc>
          <w:tcPr>
            <w:tcW w:type="dxa" w:w="6768"/>
            <w:tcBorders>
              <w:top w:val="single" w:sz="4" w:space="0" w:color="BFBFBF"/>
              <w:left w:val="single" w:sz="4" w:space="0" w:color="BFBFBF"/>
              <w:bottom w:val="single" w:sz="4" w:space="0" w:color="BFBFBF"/>
              <w:right w:val="single" w:sz="4" w:space="0" w:color="BFBFBF"/>
            </w:tcBorders>
            <w:vAlign w:val="top"/>
          </w:tcPr>
          <w:p>
            <w:r/>
            <w:r>
              <w:rPr>
                <w:sz w:val="19"/>
              </w:rPr>
              <w:t>Runs N replicas of the FastAPI container. Rolling update strategy. Readiness probe on /readyz.</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Service</w:t>
            </w:r>
          </w:p>
        </w:tc>
        <w:tc>
          <w:tcPr>
            <w:tcW w:type="dxa" w:w="67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ClusterIP. Stable internal DNS name (credit-scorecard.scoring.svc) for other services.</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Ingress</w:t>
            </w:r>
          </w:p>
        </w:tc>
        <w:tc>
          <w:tcPr>
            <w:tcW w:type="dxa" w:w="6768"/>
            <w:tcBorders>
              <w:top w:val="single" w:sz="4" w:space="0" w:color="BFBFBF"/>
              <w:left w:val="single" w:sz="4" w:space="0" w:color="BFBFBF"/>
              <w:bottom w:val="single" w:sz="4" w:space="0" w:color="BFBFBF"/>
              <w:right w:val="single" w:sz="4" w:space="0" w:color="BFBFBF"/>
            </w:tcBorders>
            <w:vAlign w:val="top"/>
          </w:tcPr>
          <w:p>
            <w:r/>
            <w:r>
              <w:rPr>
                <w:sz w:val="19"/>
              </w:rPr>
              <w:t>External HTTP(S) entry point, TLS termination, path-based routing.</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ConfigMap</w:t>
            </w:r>
          </w:p>
        </w:tc>
        <w:tc>
          <w:tcPr>
            <w:tcW w:type="dxa" w:w="67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Non-secret configuration: MLflow tracking URI, model name, log level.</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Secret</w:t>
            </w:r>
          </w:p>
        </w:tc>
        <w:tc>
          <w:tcPr>
            <w:tcW w:type="dxa" w:w="6768"/>
            <w:tcBorders>
              <w:top w:val="single" w:sz="4" w:space="0" w:color="BFBFBF"/>
              <w:left w:val="single" w:sz="4" w:space="0" w:color="BFBFBF"/>
              <w:bottom w:val="single" w:sz="4" w:space="0" w:color="BFBFBF"/>
              <w:right w:val="single" w:sz="4" w:space="0" w:color="BFBFBF"/>
            </w:tcBorders>
            <w:vAlign w:val="top"/>
          </w:tcPr>
          <w:p>
            <w:r/>
            <w:r>
              <w:rPr>
                <w:sz w:val="19"/>
              </w:rPr>
              <w:t>MLflow credentials, any database credentials the service needs. Mounted as environment variables.</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HorizontalPodAutoscaler</w:t>
            </w:r>
          </w:p>
        </w:tc>
        <w:tc>
          <w:tcPr>
            <w:tcW w:type="dxa" w:w="67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Scales replicas between min and max based on CPU utilisation target (e.g., 70%).</w:t>
            </w:r>
          </w:p>
        </w:tc>
      </w:tr>
    </w:tbl>
    <w:p>
      <w:pPr>
        <w:pStyle w:val="Heading2"/>
      </w:pPr>
      <w:r>
        <w:t>9.4 Local on minikube</w:t>
      </w:r>
    </w:p>
    <w:p>
      <w:r>
        <w:t>minikube runs a single-node Kubernetes cluster on Docker Desktop. The same manifests that deploy to EKS/AKS/GKE apply to minikube unchanged. Typical local bring-up:</w:t>
      </w:r>
    </w:p>
    <w:p>
      <w:pPr>
        <w:shd w:val="clear" w:color="auto" w:fill="F2F2F2"/>
        <w:spacing w:after="80"/>
        <w:ind w:left="288"/>
      </w:pPr>
      <w:r>
        <w:rPr>
          <w:rFonts w:ascii="Consolas" w:hAnsi="Consolas"/>
          <w:color w:val="333333"/>
          <w:sz w:val="18"/>
        </w:rPr>
        <w:t>minikube start --driver=docker --memory=4096 --cpus=2</w:t>
        <w:br/>
        <w:t>eval $(minikube docker-env)          # build images directly into the cluster</w:t>
        <w:br/>
        <w:t>docker build -t credit-scorecard:v1 -f serving/Dockerfile .</w:t>
        <w:br/>
        <w:t>kubectl apply -f k8s/</w:t>
        <w:br/>
        <w:t>minikube service credit-scorecard --url</w:t>
        <w:br/>
        <w:t>curl -X POST &lt;url&gt;/v1/score -H "Content-Type: application/json" -d @sample.json</w:t>
      </w:r>
    </w:p>
    <w:p>
      <w:pPr>
        <w:pStyle w:val="Heading2"/>
      </w:pPr>
      <w:r>
        <w:t>9.5 Latency and throughput targets</w:t>
      </w:r>
    </w:p>
    <w:p>
      <w:r>
        <w:t>Typical credit origination requires a response inside 200 ms from receipt of the feature vector. For this architecture:</w:t>
      </w:r>
    </w:p>
    <w:p>
      <w:pPr>
        <w:pStyle w:val="ListBullet"/>
        <w:ind w:left="360"/>
      </w:pPr>
      <w:r>
        <w:rPr>
          <w:sz w:val="22"/>
        </w:rPr>
        <w:t>p50 latency target: &lt; 40 ms (in-process model inference on a CPU).</w:t>
      </w:r>
    </w:p>
    <w:p>
      <w:pPr>
        <w:pStyle w:val="ListBullet"/>
        <w:ind w:left="360"/>
      </w:pPr>
      <w:r>
        <w:rPr>
          <w:sz w:val="22"/>
        </w:rPr>
        <w:t>p99 latency target: &lt; 150 ms.</w:t>
      </w:r>
    </w:p>
    <w:p>
      <w:pPr>
        <w:pStyle w:val="ListBullet"/>
        <w:ind w:left="360"/>
      </w:pPr>
      <w:r>
        <w:rPr>
          <w:sz w:val="22"/>
        </w:rPr>
        <w:t>Throughput target (single pod): 200+ requests per second on a modest VM-sized container.</w:t>
      </w:r>
    </w:p>
    <w:p>
      <w:pPr>
        <w:pStyle w:val="ListBullet"/>
        <w:ind w:left="360"/>
      </w:pPr>
      <w:r>
        <w:rPr>
          <w:sz w:val="22"/>
        </w:rPr>
        <w:t>SHAP reason code computation is the single biggest latency contributor. For logistic-regression-based scorecards, exact SHAP is cheap. For RF/tree models, TreeSHAP is used and is usually fast enough; if not, reason codes can be pre-computed in batch and joined at request time.</w:t>
      </w:r>
    </w:p>
    <w:p>
      <w:r>
        <w:br w:type="page"/>
      </w:r>
    </w:p>
    <w:p>
      <w:pPr>
        <w:pStyle w:val="Heading1"/>
      </w:pPr>
      <w:r>
        <w:t>10. CI / CD</w:t>
      </w:r>
    </w:p>
    <w:p>
      <w:pPr>
        <w:pStyle w:val="Heading2"/>
      </w:pPr>
      <w:r>
        <w:t>10.1 What runs on each trigger</w:t>
      </w:r>
    </w:p>
    <w:tbl>
      <w:tblPr>
        <w:tblW w:type="auto" w:w="0"/>
        <w:jc w:val="left"/>
        <w:tblLook w:firstColumn="1" w:firstRow="1" w:lastColumn="0" w:lastRow="0" w:noHBand="0" w:noVBand="1" w:val="04A0"/>
      </w:tblPr>
      <w:tblGrid>
        <w:gridCol w:w="3120"/>
        <w:gridCol w:w="3120"/>
        <w:gridCol w:w="3120"/>
      </w:tblGrid>
      <w:tr>
        <w:tc>
          <w:tcPr>
            <w:tcW w:type="dxa" w:w="2016"/>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Trigger</w:t>
            </w:r>
          </w:p>
        </w:tc>
        <w:tc>
          <w:tcPr>
            <w:tcW w:type="dxa" w:w="475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Steps</w:t>
            </w:r>
          </w:p>
        </w:tc>
        <w:tc>
          <w:tcPr>
            <w:tcW w:type="dxa" w:w="259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Outcome</w:t>
            </w:r>
          </w:p>
        </w:tc>
      </w:tr>
      <w:tr>
        <w:tc>
          <w:tcPr>
            <w:tcW w:type="dxa" w:w="2016"/>
            <w:tcBorders>
              <w:top w:val="single" w:sz="4" w:space="0" w:color="BFBFBF"/>
              <w:left w:val="single" w:sz="4" w:space="0" w:color="BFBFBF"/>
              <w:bottom w:val="single" w:sz="4" w:space="0" w:color="BFBFBF"/>
              <w:right w:val="single" w:sz="4" w:space="0" w:color="BFBFBF"/>
            </w:tcBorders>
            <w:vAlign w:val="top"/>
          </w:tcPr>
          <w:p>
            <w:r/>
            <w:r>
              <w:rPr>
                <w:sz w:val="19"/>
              </w:rPr>
              <w:t>Pull request → any branch</w:t>
            </w:r>
          </w:p>
        </w:tc>
        <w:tc>
          <w:tcPr>
            <w:tcW w:type="dxa" w:w="4752"/>
            <w:tcBorders>
              <w:top w:val="single" w:sz="4" w:space="0" w:color="BFBFBF"/>
              <w:left w:val="single" w:sz="4" w:space="0" w:color="BFBFBF"/>
              <w:bottom w:val="single" w:sz="4" w:space="0" w:color="BFBFBF"/>
              <w:right w:val="single" w:sz="4" w:space="0" w:color="BFBFBF"/>
            </w:tcBorders>
            <w:vAlign w:val="top"/>
          </w:tcPr>
          <w:p>
            <w:r/>
            <w:r>
              <w:rPr>
                <w:sz w:val="19"/>
              </w:rPr>
              <w:t>ruff, black --check, pytest -m "not integration", schema contract tests</w:t>
            </w:r>
          </w:p>
        </w:tc>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Pass required to merge</w:t>
            </w:r>
          </w:p>
        </w:tc>
      </w:tr>
      <w:tr>
        <w:tc>
          <w:tcPr>
            <w:tcW w:type="dxa" w:w="201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Push → main</w:t>
            </w:r>
          </w:p>
        </w:tc>
        <w:tc>
          <w:tcPr>
            <w:tcW w:type="dxa" w:w="475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All PR steps + integration test: train on sample, score a known record, assert output shape</w:t>
            </w:r>
          </w:p>
        </w:tc>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On pass: build + tag Docker images, push to registry</w:t>
            </w:r>
          </w:p>
        </w:tc>
      </w:tr>
      <w:tr>
        <w:tc>
          <w:tcPr>
            <w:tcW w:type="dxa" w:w="2016"/>
            <w:tcBorders>
              <w:top w:val="single" w:sz="4" w:space="0" w:color="BFBFBF"/>
              <w:left w:val="single" w:sz="4" w:space="0" w:color="BFBFBF"/>
              <w:bottom w:val="single" w:sz="4" w:space="0" w:color="BFBFBF"/>
              <w:right w:val="single" w:sz="4" w:space="0" w:color="BFBFBF"/>
            </w:tcBorders>
            <w:vAlign w:val="top"/>
          </w:tcPr>
          <w:p>
            <w:r/>
            <w:r>
              <w:rPr>
                <w:sz w:val="19"/>
              </w:rPr>
              <w:t>Tag v*.*.*</w:t>
            </w:r>
          </w:p>
        </w:tc>
        <w:tc>
          <w:tcPr>
            <w:tcW w:type="dxa" w:w="4752"/>
            <w:tcBorders>
              <w:top w:val="single" w:sz="4" w:space="0" w:color="BFBFBF"/>
              <w:left w:val="single" w:sz="4" w:space="0" w:color="BFBFBF"/>
              <w:bottom w:val="single" w:sz="4" w:space="0" w:color="BFBFBF"/>
              <w:right w:val="single" w:sz="4" w:space="0" w:color="BFBFBF"/>
            </w:tcBorders>
            <w:vAlign w:val="top"/>
          </w:tcPr>
          <w:p>
            <w:r/>
            <w:r>
              <w:rPr>
                <w:sz w:val="19"/>
              </w:rPr>
              <w:t>Promote built images, publish GitHub Release, roll the Kubernetes Deployment</w:t>
            </w:r>
          </w:p>
        </w:tc>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Production release (gated by manual approval in GitHub Environments)</w:t>
            </w:r>
          </w:p>
        </w:tc>
      </w:tr>
      <w:tr>
        <w:tc>
          <w:tcPr>
            <w:tcW w:type="dxa" w:w="2016"/>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Nightly</w:t>
            </w:r>
          </w:p>
        </w:tc>
        <w:tc>
          <w:tcPr>
            <w:tcW w:type="dxa" w:w="475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Run full training on the latest data snapshot; register model as None stage; emit MLflow run</w:t>
            </w:r>
          </w:p>
        </w:tc>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Candidate model available for validation</w:t>
            </w:r>
          </w:p>
        </w:tc>
      </w:tr>
    </w:tbl>
    <w:p>
      <w:pPr>
        <w:pStyle w:val="Heading2"/>
      </w:pPr>
      <w:r>
        <w:t>10.2 Image strategy</w:t>
      </w:r>
    </w:p>
    <w:p>
      <w:r>
        <w:t>Two images, one for training and one for serving. They share a base (Python version, system libraries) but diverge in what they install. The training image is heavier — Spark, MLflow, Great Expectations; the serving image is lean — FastAPI, the model bundle, nothing else. Tagging is by Git SHA for immutability plus a moving "latest-prod" tag for convenience.</w:t>
      </w:r>
    </w:p>
    <w:p>
      <w:pPr>
        <w:pStyle w:val="Heading2"/>
      </w:pPr>
      <w:r>
        <w:t>10.3 Secrets</w:t>
      </w:r>
    </w:p>
    <w:p>
      <w:r>
        <w:t>No secret is ever committed. GitHub Actions uses repository secrets for cloud / registry credentials. Kubernetes uses Secret objects mounted as environment variables. Local development uses .env files listed in .gitignore, loaded through pydantic-settings so the code reads the same variables regardless of environment.</w:t>
      </w:r>
    </w:p>
    <w:p>
      <w:r>
        <w:br w:type="page"/>
      </w:r>
    </w:p>
    <w:p>
      <w:pPr>
        <w:pStyle w:val="Heading1"/>
      </w:pPr>
      <w:r>
        <w:t>11. Governance and Compliance</w:t>
      </w:r>
    </w:p>
    <w:p>
      <w:pPr>
        <w:pStyle w:val="Heading2"/>
      </w:pPr>
      <w:r>
        <w:t>11.1 Framing</w:t>
      </w:r>
    </w:p>
    <w:p>
      <w:r>
        <w:t>A learning deployment cannot claim SR 11-7 compliance. What it can do is adopt the SR 11-7 frame — model development, model validation, and ongoing monitoring as separable activities — and produce the artefacts a validator would ask for. The same applies to UK PRA SS1/23 and to South African Prudential Authority guidance for banks. For portfolio purposes, the documentation and artefacts matter more than the regulatory citation: a reviewer is checking whether the discipline is there, not which acronym it was labelled under.</w:t>
      </w:r>
    </w:p>
    <w:p>
      <w:r>
        <w:t>Note on POPIA: if real applicant data is ever used, POPIA classifies financial information as special personal information requiring explicit consent and purpose limitation. The simulated dataset in data/raw/ avoids this concern entirely, but the architecture should not assume simulated data forever — PII handling (hashing in staging, minimal propagation to marts) is covered in Section 5.1 and needs reinforcement before real data is introduced.</w:t>
      </w:r>
    </w:p>
    <w:p>
      <w:pPr>
        <w:pStyle w:val="Heading2"/>
      </w:pPr>
      <w:r>
        <w:t>11.2 Model card</w:t>
      </w:r>
    </w:p>
    <w:p>
      <w:r>
        <w:t>A model card is a short structured document (Markdown or PDF, 2–4 pages) that accompanies every registered model version. It is generated automatically from MLflow metadata plus manual fields filled in by the model owner at promotion time. Contents:</w:t>
      </w:r>
    </w:p>
    <w:p>
      <w:pPr>
        <w:pStyle w:val="ListBullet"/>
        <w:ind w:left="360"/>
      </w:pPr>
      <w:r>
        <w:rPr>
          <w:sz w:val="22"/>
        </w:rPr>
        <w:t>Model identity: name, version, MLflow run URI, Git SHA, date of training.</w:t>
      </w:r>
    </w:p>
    <w:p>
      <w:pPr>
        <w:pStyle w:val="ListBullet"/>
        <w:ind w:left="360"/>
      </w:pPr>
      <w:r>
        <w:rPr>
          <w:sz w:val="22"/>
        </w:rPr>
        <w:t>Intended use and out-of-scope use.</w:t>
      </w:r>
    </w:p>
    <w:p>
      <w:pPr>
        <w:pStyle w:val="ListBullet"/>
        <w:ind w:left="360"/>
      </w:pPr>
      <w:r>
        <w:rPr>
          <w:sz w:val="22"/>
        </w:rPr>
        <w:t>Training data: source, time range, row count, bad rate, transformations, data snapshot ID.</w:t>
      </w:r>
    </w:p>
    <w:p>
      <w:pPr>
        <w:pStyle w:val="ListBullet"/>
        <w:ind w:left="360"/>
      </w:pPr>
      <w:r>
        <w:rPr>
          <w:sz w:val="22"/>
        </w:rPr>
        <w:t>Feature list with descriptions, sources, and any transformations.</w:t>
      </w:r>
    </w:p>
    <w:p>
      <w:pPr>
        <w:pStyle w:val="ListBullet"/>
        <w:ind w:left="360"/>
      </w:pPr>
      <w:r>
        <w:rPr>
          <w:sz w:val="22"/>
        </w:rPr>
        <w:t>Evaluation results: AUC, Gini, KS, calibration, lift curve, segment-level performance (by age band, by income band, by geography).</w:t>
      </w:r>
    </w:p>
    <w:p>
      <w:pPr>
        <w:pStyle w:val="ListBullet"/>
        <w:ind w:left="360"/>
      </w:pPr>
      <w:r>
        <w:rPr>
          <w:sz w:val="22"/>
        </w:rPr>
        <w:t>Fairness analysis: score distribution and approval rate by protected or proxy attribute groups, where data allows. For DRA features specifically, check correlation with protected attributes.</w:t>
      </w:r>
    </w:p>
    <w:p>
      <w:pPr>
        <w:pStyle w:val="ListBullet"/>
        <w:ind w:left="360"/>
      </w:pPr>
      <w:r>
        <w:rPr>
          <w:sz w:val="22"/>
        </w:rPr>
        <w:t>Known limitations and ethical considerations.</w:t>
      </w:r>
    </w:p>
    <w:p>
      <w:pPr>
        <w:pStyle w:val="ListBullet"/>
        <w:ind w:left="360"/>
      </w:pPr>
      <w:r>
        <w:rPr>
          <w:sz w:val="22"/>
        </w:rPr>
        <w:t>Reason code taxonomy.</w:t>
      </w:r>
    </w:p>
    <w:p>
      <w:pPr>
        <w:pStyle w:val="Heading2"/>
      </w:pPr>
      <w:r>
        <w:t>11.3 Reason codes</w:t>
      </w:r>
    </w:p>
    <w:p>
      <w:r>
        <w:t>Every score returned in real time is accompanied by the top-K reason codes. These serve two purposes: they are an explainability surface for internal reviewers, and they are the basis for adverse action notices sent to declined applicants. For the scorecard, reason codes are derived from per-feature score contributions (the logistic regression coefficient times the centred feature value). For the RF challenger, reason codes come from TreeSHAP. A canonical mapping from internal feature names to human-readable reason strings lives in src/governance/reason_codes.py and is versioned alongside the model.</w:t>
      </w:r>
    </w:p>
    <w:p>
      <w:pPr>
        <w:pStyle w:val="Heading2"/>
      </w:pPr>
      <w:r>
        <w:t>11.4 Monitoring</w:t>
      </w:r>
    </w:p>
    <w:p>
      <w:r>
        <w:t>Three kinds of monitoring, all driven from the scores table written by the batch DAG and by the serving metrics emitted from the FastAPI service.</w:t>
      </w:r>
    </w:p>
    <w:tbl>
      <w:tblPr>
        <w:tblW w:type="auto" w:w="0"/>
        <w:jc w:val="left"/>
        <w:tblLook w:firstColumn="1" w:firstRow="1" w:lastColumn="0" w:lastRow="0" w:noHBand="0" w:noVBand="1" w:val="04A0"/>
      </w:tblPr>
      <w:tblGrid>
        <w:gridCol w:w="3120"/>
        <w:gridCol w:w="3120"/>
        <w:gridCol w:w="3120"/>
      </w:tblGrid>
      <w:tr>
        <w:tc>
          <w:tcPr>
            <w:tcW w:type="dxa" w:w="2160"/>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Monitor</w:t>
            </w:r>
          </w:p>
        </w:tc>
        <w:tc>
          <w:tcPr>
            <w:tcW w:type="dxa" w:w="403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Metric</w:t>
            </w:r>
          </w:p>
        </w:tc>
        <w:tc>
          <w:tcPr>
            <w:tcW w:type="dxa" w:w="316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Alert threshold (illustrative)</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Feature drift</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PSI on each feature, week over week</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PSI &gt; 0.25 on any feature; warning at 0.10</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Score drift</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PSI on score distribution vs training reference</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PSI &gt; 0.25</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Discrimination</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AUC / KS on scored population with observed outcomes, rolling 3-month window</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Drop of &gt; 5 Gini points from baseline</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Calibration</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Hosmer-Lemeshow or reliability-diagram-based slope</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Slope outside [0.85, 1.15]</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Serving latency</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p50, p95, p99 per endpoint</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p99 &gt; 200 ms for 10 consecutive minutes</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Error rate</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5xx responses / total</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&gt; 0.1% over 5 minutes</w:t>
            </w:r>
          </w:p>
        </w:tc>
      </w:tr>
    </w:tbl>
    <w:p>
      <w:pPr>
        <w:pStyle w:val="Heading2"/>
      </w:pPr>
      <w:r>
        <w:t>11.5 Audit trail</w:t>
      </w:r>
    </w:p>
    <w:p>
      <w:r>
        <w:t>Every production score can be tied back to: the exact model version (registry version number), the Git SHA that produced it, the data snapshot it was trained on, the feature vector at the time of scoring, and the reason codes returned. All of this is addressable from a single applicant_id + scored_at query against the scores table, which joins to the model registry and to Git. This is the bar a validator or regulator will ask you to meet; the architecture meets it by construction.</w:t>
      </w:r>
    </w:p>
    <w:p>
      <w:pPr>
        <w:pStyle w:val="Heading2"/>
      </w:pPr>
      <w:r>
        <w:t>11.6 Psychometric (DRA) features — specific scrutiny</w:t>
      </w:r>
    </w:p>
    <w:p>
      <w:r>
        <w:t>Psychometric features are less standardised than bureau features and attract more scrutiny from validators and regulators. Two specific risks to monitor at build time and over time:</w:t>
      </w:r>
    </w:p>
    <w:p>
      <w:pPr>
        <w:pStyle w:val="ListBullet"/>
        <w:ind w:left="360"/>
      </w:pPr>
      <w:r>
        <w:rPr>
          <w:sz w:val="22"/>
        </w:rPr>
        <w:t>Adverse impact: check score distributions and approval rates across protected groups (where the data allows). If DRA features drive disproportionate impact beyond what bureau features do, that is documentable in the model card.</w:t>
      </w:r>
    </w:p>
    <w:p>
      <w:pPr>
        <w:pStyle w:val="ListBullet"/>
        <w:ind w:left="360"/>
      </w:pPr>
      <w:r>
        <w:rPr>
          <w:sz w:val="22"/>
        </w:rPr>
        <w:t>Feature stability: DRA scores can be sensitive to test conditions. PSI on DRA dimensions over time — more than on bureau features — is a leading indicator of degraded input data, not only degraded model performance.</w:t>
      </w:r>
    </w:p>
    <w:p>
      <w:r>
        <w:br w:type="page"/>
      </w:r>
    </w:p>
    <w:p>
      <w:pPr>
        <w:pStyle w:val="Heading1"/>
      </w:pPr>
      <w:r>
        <w:t>12. Local-Only Learning Environment</w:t>
      </w:r>
    </w:p>
    <w:p>
      <w:pPr>
        <w:pStyle w:val="Heading2"/>
      </w:pPr>
      <w:r>
        <w:t>12.1 Software prerequisites</w:t>
      </w:r>
    </w:p>
    <w:tbl>
      <w:tblPr>
        <w:tblW w:type="auto" w:w="0"/>
        <w:jc w:val="left"/>
        <w:tblLook w:firstColumn="1" w:firstRow="1" w:lastColumn="0" w:lastRow="0" w:noHBand="0" w:noVBand="1" w:val="04A0"/>
      </w:tblPr>
      <w:tblGrid>
        <w:gridCol w:w="3120"/>
        <w:gridCol w:w="3120"/>
        <w:gridCol w:w="3120"/>
      </w:tblGrid>
      <w:tr>
        <w:tc>
          <w:tcPr>
            <w:tcW w:type="dxa" w:w="2160"/>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Tool</w:t>
            </w:r>
          </w:p>
        </w:tc>
        <w:tc>
          <w:tcPr>
            <w:tcW w:type="dxa" w:w="3168"/>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Purpose</w:t>
            </w:r>
          </w:p>
        </w:tc>
        <w:tc>
          <w:tcPr>
            <w:tcW w:type="dxa" w:w="403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Install</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Docker Desktop</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Container runtime</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docker.com installer</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minikube</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Local Kubernetes</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brew install minikube (macOS) / choco install minikube (Windows)</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kubectl</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Kubernetes CLI</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Bundled with minikube or installed separately</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uv (or Poetry)</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Dependency management</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pip install uv</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Python 3.11</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Runtime</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pyenv or python.org</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PySpark</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Distributed compute</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pip install pyspark (Java 17 required)</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DuckDB</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Warehouse stand-in</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pip install duckdb</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MLflow</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Tracking + registry</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pip install mlflow</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Prefect</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Orchestration</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pip install prefect</w:t>
            </w:r>
          </w:p>
        </w:tc>
      </w:tr>
      <w:tr>
        <w:tc>
          <w:tcPr>
            <w:tcW w:type="dxa" w:w="2160"/>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Great Expectations</w:t>
            </w:r>
          </w:p>
        </w:tc>
        <w:tc>
          <w:tcPr>
            <w:tcW w:type="dxa" w:w="3168"/>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Data contracts</w:t>
            </w:r>
          </w:p>
        </w:tc>
        <w:tc>
          <w:tcPr>
            <w:tcW w:type="dxa" w:w="403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pip install great-expectations</w:t>
            </w:r>
          </w:p>
        </w:tc>
      </w:tr>
      <w:tr>
        <w:tc>
          <w:tcPr>
            <w:tcW w:type="dxa" w:w="2160"/>
            <w:tcBorders>
              <w:top w:val="single" w:sz="4" w:space="0" w:color="BFBFBF"/>
              <w:left w:val="single" w:sz="4" w:space="0" w:color="BFBFBF"/>
              <w:bottom w:val="single" w:sz="4" w:space="0" w:color="BFBFBF"/>
              <w:right w:val="single" w:sz="4" w:space="0" w:color="BFBFBF"/>
            </w:tcBorders>
            <w:vAlign w:val="top"/>
          </w:tcPr>
          <w:p>
            <w:r/>
            <w:r>
              <w:rPr>
                <w:sz w:val="19"/>
              </w:rPr>
              <w:t>act</w:t>
            </w:r>
          </w:p>
        </w:tc>
        <w:tc>
          <w:tcPr>
            <w:tcW w:type="dxa" w:w="3168"/>
            <w:tcBorders>
              <w:top w:val="single" w:sz="4" w:space="0" w:color="BFBFBF"/>
              <w:left w:val="single" w:sz="4" w:space="0" w:color="BFBFBF"/>
              <w:bottom w:val="single" w:sz="4" w:space="0" w:color="BFBFBF"/>
              <w:right w:val="single" w:sz="4" w:space="0" w:color="BFBFBF"/>
            </w:tcBorders>
            <w:vAlign w:val="top"/>
          </w:tcPr>
          <w:p>
            <w:r/>
            <w:r>
              <w:rPr>
                <w:sz w:val="19"/>
              </w:rPr>
              <w:t>Run GitHub Actions locally</w:t>
            </w:r>
          </w:p>
        </w:tc>
        <w:tc>
          <w:tcPr>
            <w:tcW w:type="dxa" w:w="4032"/>
            <w:tcBorders>
              <w:top w:val="single" w:sz="4" w:space="0" w:color="BFBFBF"/>
              <w:left w:val="single" w:sz="4" w:space="0" w:color="BFBFBF"/>
              <w:bottom w:val="single" w:sz="4" w:space="0" w:color="BFBFBF"/>
              <w:right w:val="single" w:sz="4" w:space="0" w:color="BFBFBF"/>
            </w:tcBorders>
            <w:vAlign w:val="top"/>
          </w:tcPr>
          <w:p>
            <w:r/>
            <w:r>
              <w:rPr>
                <w:sz w:val="19"/>
              </w:rPr>
              <w:t>brew install act / choco install act-cli</w:t>
            </w:r>
          </w:p>
        </w:tc>
      </w:tr>
    </w:tbl>
    <w:p>
      <w:pPr>
        <w:pStyle w:val="Heading2"/>
      </w:pPr>
      <w:r>
        <w:t>12.2 Proposed repository layout (evolved)</w:t>
      </w:r>
    </w:p>
    <w:p>
      <w:pPr>
        <w:shd w:val="clear" w:color="auto" w:fill="F2F2F2"/>
        <w:spacing w:after="80"/>
        <w:ind w:left="288"/>
      </w:pPr>
      <w:r>
        <w:rPr>
          <w:rFonts w:ascii="Consolas" w:hAnsi="Consolas"/>
          <w:color w:val="333333"/>
          <w:sz w:val="18"/>
        </w:rPr>
        <w:t>credit-pipeline/</w:t>
        <w:br/>
        <w:t>├── src/</w:t>
        <w:br/>
        <w:t>│   ├── config.py                 # unified config (replaces scattered paths + feature lists)</w:t>
        <w:br/>
        <w:t>│   ├── settings.py               # pydantic-settings: env-aware URIs, secrets</w:t>
        <w:br/>
        <w:t>│   ├── data/</w:t>
        <w:br/>
        <w:t>│   │   ├── ingest.py             # Snowflake/DuckDB readers</w:t>
        <w:br/>
        <w:t>│   │   ├── contracts/            # Great Expectations suites</w:t>
        <w:br/>
        <w:t>│   │   └── preprocess.py         # single authoritative prep (wraps what is in pipelines/ today)</w:t>
        <w:br/>
        <w:t>│   ├── features/</w:t>
        <w:br/>
        <w:t>│   │   └── pipeline.py           # fitted sklearn Pipeline exported as an MLflow artefact</w:t>
        <w:br/>
        <w:t>│   ├── models/</w:t>
        <w:br/>
        <w:t>│   │   ├── scorecard.py</w:t>
        <w:br/>
        <w:t>│   │   ├── challenger_rf.py</w:t>
        <w:br/>
        <w:t>│   │   └── evaluate.py</w:t>
        <w:br/>
        <w:t>│   ├── training/</w:t>
        <w:br/>
        <w:t>│   │   └── train.py              # MLflow-aware entry point (replaces pipelines/run_pipeline.py)</w:t>
        <w:br/>
        <w:t>│   ├── batch/</w:t>
        <w:br/>
        <w:t>│   │   └── score_flow.py         # Prefect flow / Databricks job</w:t>
        <w:br/>
        <w:t>│   ├── serving/</w:t>
        <w:br/>
        <w:t>│   │   ├── app.py                # FastAPI</w:t>
        <w:br/>
        <w:t>│   │   ├── schemas.py            # pydantic request/response models</w:t>
        <w:br/>
        <w:t>│   │   └── reason_codes.py</w:t>
        <w:br/>
        <w:t>│   └── governance/</w:t>
        <w:br/>
        <w:t>│       └── model_card.py         # auto-generate from MLflow run</w:t>
        <w:br/>
        <w:t>├── tests/</w:t>
        <w:br/>
        <w:t>│   ├── test_config.py            # existing, kept</w:t>
        <w:br/>
        <w:t>│   ├── test_features.py          # new: invariance tests</w:t>
        <w:br/>
        <w:t>│   ├── test_scoring_api.py       # new: contract test</w:t>
        <w:br/>
        <w:t>│   └── test_integration.py       # new: end-to-end on sample</w:t>
        <w:br/>
        <w:t>├── k8s/</w:t>
        <w:br/>
        <w:t>│   ├── deployment.yaml</w:t>
        <w:br/>
        <w:t>│   ├── service.yaml</w:t>
        <w:br/>
        <w:t>│   ├── ingress.yaml</w:t>
        <w:br/>
        <w:t>│   ├── configmap.yaml</w:t>
        <w:br/>
        <w:t>│   ├── secret.example.yaml</w:t>
        <w:br/>
        <w:t>│   └── hpa.yaml</w:t>
        <w:br/>
        <w:t>├── docker/</w:t>
        <w:br/>
        <w:t>│   ├── training.Dockerfile</w:t>
        <w:br/>
        <w:t>│   └── serving.Dockerfile</w:t>
        <w:br/>
        <w:t>├── orchestration/</w:t>
        <w:br/>
        <w:t>│   ├── prefect_flow.py</w:t>
        <w:br/>
        <w:t>│   └── Makefile</w:t>
        <w:br/>
        <w:t>├── .github/workflows/</w:t>
        <w:br/>
        <w:t>│   ├── ci.yaml</w:t>
        <w:br/>
        <w:t>│   ├── nightly-train.yaml</w:t>
        <w:br/>
        <w:t>│   └── release.yaml</w:t>
        <w:br/>
        <w:t>├── pyproject.toml  (or uv.lock)</w:t>
        <w:br/>
        <w:t>└── README.md</w:t>
      </w:r>
    </w:p>
    <w:p>
      <w:pPr>
        <w:pStyle w:val="Heading2"/>
      </w:pPr>
      <w:r>
        <w:t>12.3 Services to run locally</w:t>
      </w:r>
    </w:p>
    <w:p>
      <w:r>
        <w:t>Recommended docker-compose.yml for the always-on local services:</w:t>
      </w:r>
    </w:p>
    <w:p>
      <w:pPr>
        <w:shd w:val="clear" w:color="auto" w:fill="F2F2F2"/>
        <w:spacing w:after="80"/>
        <w:ind w:left="288"/>
      </w:pPr>
      <w:r>
        <w:rPr>
          <w:rFonts w:ascii="Consolas" w:hAnsi="Consolas"/>
          <w:color w:val="333333"/>
          <w:sz w:val="18"/>
        </w:rPr>
        <w:t>services:</w:t>
        <w:br/>
        <w:t xml:space="preserve">  mlflow:</w:t>
        <w:br/>
        <w:t xml:space="preserve">    image: ghcr.io/mlflow/mlflow:v2.16.0</w:t>
        <w:br/>
        <w:t xml:space="preserve">    command: mlflow server --host 0.0.0.0 --port 5000 \</w:t>
        <w:br/>
        <w:t xml:space="preserve">             --backend-store-uri sqlite:////mlflow/mlflow.db \</w:t>
        <w:br/>
        <w:t xml:space="preserve">             --default-artifact-root /mlflow/artefacts</w:t>
        <w:br/>
        <w:t xml:space="preserve">    ports: ["5000:5000"]</w:t>
        <w:br/>
        <w:t xml:space="preserve">    volumes: ["./mlflow-data:/mlflow"]</w:t>
        <w:br/>
        <w:br/>
        <w:t xml:space="preserve">  prefect:</w:t>
        <w:br/>
        <w:t xml:space="preserve">    image: prefecthq/prefect:3-latest</w:t>
        <w:br/>
        <w:t xml:space="preserve">    command: prefect server start --host 0.0.0.0</w:t>
        <w:br/>
        <w:t xml:space="preserve">    ports: ["4200:4200"]</w:t>
        <w:br/>
        <w:br/>
        <w:t xml:space="preserve">  prometheus:</w:t>
        <w:br/>
        <w:t xml:space="preserve">    image: prom/prometheus:latest</w:t>
        <w:br/>
        <w:t xml:space="preserve">    volumes: ["./monitoring/prometheus.yml:/etc/prometheus/prometheus.yml"]</w:t>
        <w:br/>
        <w:t xml:space="preserve">    ports: ["9090:9090"]</w:t>
        <w:br/>
        <w:br/>
        <w:t xml:space="preserve">  grafana:</w:t>
        <w:br/>
        <w:t xml:space="preserve">    image: grafana/grafana:latest</w:t>
        <w:br/>
        <w:t xml:space="preserve">    ports: ["3000:3000"]</w:t>
      </w:r>
    </w:p>
    <w:p>
      <w:r>
        <w:t>With this compose file running plus minikube started, the local stack covers every layer of the production architecture.</w:t>
      </w:r>
    </w:p>
    <w:p>
      <w:r>
        <w:br w:type="page"/>
      </w:r>
    </w:p>
    <w:p>
      <w:pPr>
        <w:pStyle w:val="Heading1"/>
      </w:pPr>
      <w:r>
        <w:t>13. Phased Implementation Roadmap</w:t>
      </w:r>
    </w:p>
    <w:p>
      <w:r>
        <w:t>Eight phases. Each phase is sized so that it can be completed in a focused session of one to three days and produces a standalone artefact worth adding to a portfolio. Phases build on each other — the order matters.</w:t>
      </w:r>
    </w:p>
    <w:p>
      <w:pPr>
        <w:pStyle w:val="Heading2"/>
      </w:pPr>
      <w:r>
        <w:t>Phase A — Foundations</w:t>
      </w:r>
    </w:p>
    <w:p>
      <w:r>
        <w:t>Repository hygiene: uv or Poetry, pinned deps, pre-commit (ruff, black, mypy), a Dockerfile for the training image, a basic GitHub Actions workflow that runs lint + tests on every PR, and a settings.py that routes all configuration through pydantic-settings.</w:t>
      </w:r>
    </w:p>
    <w:p>
      <w:pPr>
        <w:spacing w:after="40"/>
      </w:pPr>
      <w:r>
        <w:rPr>
          <w:b/>
          <w:sz w:val="22"/>
        </w:rPr>
        <w:t>Deliverables</w:t>
      </w:r>
    </w:p>
    <w:p>
      <w:pPr>
        <w:pStyle w:val="ListBullet"/>
        <w:ind w:left="360"/>
      </w:pPr>
      <w:r>
        <w:rPr>
          <w:sz w:val="22"/>
        </w:rPr>
        <w:t>pyproject.toml with pinned dependencies</w:t>
      </w:r>
    </w:p>
    <w:p>
      <w:pPr>
        <w:pStyle w:val="ListBullet"/>
        <w:ind w:left="360"/>
      </w:pPr>
      <w:r>
        <w:rPr>
          <w:sz w:val="22"/>
        </w:rPr>
        <w:t>Dockerfile that runs the existing pipeline</w:t>
      </w:r>
    </w:p>
    <w:p>
      <w:pPr>
        <w:pStyle w:val="ListBullet"/>
        <w:ind w:left="360"/>
      </w:pPr>
      <w:r>
        <w:rPr>
          <w:sz w:val="22"/>
        </w:rPr>
        <w:t>.github/workflows/ci.yaml</w:t>
      </w:r>
    </w:p>
    <w:p>
      <w:pPr>
        <w:pStyle w:val="ListBullet"/>
        <w:ind w:left="360"/>
      </w:pPr>
      <w:r>
        <w:rPr>
          <w:sz w:val="22"/>
        </w:rPr>
        <w:t>src/settings.py</w:t>
      </w:r>
    </w:p>
    <w:p>
      <w:pPr>
        <w:spacing w:after="40"/>
      </w:pPr>
      <w:r>
        <w:rPr>
          <w:b/>
          <w:sz w:val="22"/>
        </w:rPr>
        <w:t>Before / after</w:t>
      </w:r>
    </w:p>
    <w:p>
      <w:r>
        <w:rPr>
          <w:i/>
          <w:color w:val="6B6B6B"/>
          <w:sz w:val="21"/>
        </w:rPr>
        <w:t>Before: Current dev experience</w:t>
      </w:r>
    </w:p>
    <w:p>
      <w:r>
        <w:rPr>
          <w:i/>
          <w:color w:val="6B6B6B"/>
          <w:sz w:val="21"/>
        </w:rPr>
        <w:t>After: Any change breaks CI visibly; environment is reproducible; paths.py is finally consumed</w:t>
      </w:r>
    </w:p>
    <w:p>
      <w:pPr>
        <w:pStyle w:val="Heading2"/>
      </w:pPr>
      <w:r>
        <w:t>Phase B — Data layer with DuckDB + Great Expectations</w:t>
      </w:r>
    </w:p>
    <w:p>
      <w:r>
        <w:t>Stand up warehouse/credit.duckdb with raw / staging / marts schemas. Load the Excel into raw.application. Write the first Great Expectations suite. Replace hardcoded data path in pipelines/run_pipeline.py with a DuckDB read.</w:t>
      </w:r>
    </w:p>
    <w:p>
      <w:pPr>
        <w:spacing w:after="40"/>
      </w:pPr>
      <w:r>
        <w:rPr>
          <w:b/>
          <w:sz w:val="22"/>
        </w:rPr>
        <w:t>Deliverables</w:t>
      </w:r>
    </w:p>
    <w:p>
      <w:pPr>
        <w:pStyle w:val="ListBullet"/>
        <w:ind w:left="360"/>
      </w:pPr>
      <w:r>
        <w:rPr>
          <w:sz w:val="22"/>
        </w:rPr>
        <w:t>warehouse/credit.duckdb</w:t>
      </w:r>
    </w:p>
    <w:p>
      <w:pPr>
        <w:pStyle w:val="ListBullet"/>
        <w:ind w:left="360"/>
      </w:pPr>
      <w:r>
        <w:rPr>
          <w:sz w:val="22"/>
        </w:rPr>
        <w:t>src/data/contracts/application.yml (Great Expectations)</w:t>
      </w:r>
    </w:p>
    <w:p>
      <w:pPr>
        <w:pStyle w:val="ListBullet"/>
        <w:ind w:left="360"/>
      </w:pPr>
      <w:r>
        <w:rPr>
          <w:sz w:val="22"/>
        </w:rPr>
        <w:t>Data Docs HTML site at reports/data_docs/</w:t>
      </w:r>
    </w:p>
    <w:p>
      <w:pPr>
        <w:spacing w:after="40"/>
      </w:pPr>
      <w:r>
        <w:rPr>
          <w:b/>
          <w:sz w:val="22"/>
        </w:rPr>
        <w:t>Before / after</w:t>
      </w:r>
    </w:p>
    <w:p>
      <w:r>
        <w:rPr>
          <w:i/>
          <w:color w:val="6B6B6B"/>
          <w:sz w:val="21"/>
        </w:rPr>
        <w:t>Before: Raw data is an Excel file</w:t>
      </w:r>
    </w:p>
    <w:p>
      <w:r>
        <w:rPr>
          <w:i/>
          <w:color w:val="6B6B6B"/>
          <w:sz w:val="21"/>
        </w:rPr>
        <w:t>After: Data access is SQL; invariants are enforced automatically</w:t>
      </w:r>
    </w:p>
    <w:p>
      <w:pPr>
        <w:pStyle w:val="Heading2"/>
      </w:pPr>
      <w:r>
        <w:t>Phase C — MLflow training job</w:t>
      </w:r>
    </w:p>
    <w:p>
      <w:r>
        <w:t>Stand up MLflow locally (docker-compose). Wrap the existing train_scorecard and train_random_forest calls in an MLflow run that logs params, metrics, model, and input example. Register both models under the same experiment.</w:t>
      </w:r>
    </w:p>
    <w:p>
      <w:pPr>
        <w:spacing w:after="40"/>
      </w:pPr>
      <w:r>
        <w:rPr>
          <w:b/>
          <w:sz w:val="22"/>
        </w:rPr>
        <w:t>Deliverables</w:t>
      </w:r>
    </w:p>
    <w:p>
      <w:pPr>
        <w:pStyle w:val="ListBullet"/>
        <w:ind w:left="360"/>
      </w:pPr>
      <w:r>
        <w:rPr>
          <w:sz w:val="22"/>
        </w:rPr>
        <w:t>docker-compose.yml with MLflow service</w:t>
      </w:r>
    </w:p>
    <w:p>
      <w:pPr>
        <w:pStyle w:val="ListBullet"/>
        <w:ind w:left="360"/>
      </w:pPr>
      <w:r>
        <w:rPr>
          <w:sz w:val="22"/>
        </w:rPr>
        <w:t>src/training/train.py (MLflow-aware)</w:t>
      </w:r>
    </w:p>
    <w:p>
      <w:pPr>
        <w:pStyle w:val="ListBullet"/>
        <w:ind w:left="360"/>
      </w:pPr>
      <w:r>
        <w:rPr>
          <w:sz w:val="22"/>
        </w:rPr>
        <w:t>Two models registered: credit_scorecard, credit_rf_challenger</w:t>
      </w:r>
    </w:p>
    <w:p>
      <w:pPr>
        <w:spacing w:after="40"/>
      </w:pPr>
      <w:r>
        <w:rPr>
          <w:b/>
          <w:sz w:val="22"/>
        </w:rPr>
        <w:t>Before / after</w:t>
      </w:r>
    </w:p>
    <w:p>
      <w:r>
        <w:rPr>
          <w:i/>
          <w:color w:val="6B6B6B"/>
          <w:sz w:val="21"/>
        </w:rPr>
        <w:t>Before: Models trained and thrown away</w:t>
      </w:r>
    </w:p>
    <w:p>
      <w:r>
        <w:rPr>
          <w:i/>
          <w:color w:val="6B6B6B"/>
          <w:sz w:val="21"/>
        </w:rPr>
        <w:t>After: Every run is reproducible; models are versioned and addressable by URI</w:t>
      </w:r>
    </w:p>
    <w:p>
      <w:pPr>
        <w:pStyle w:val="Heading2"/>
      </w:pPr>
      <w:r>
        <w:t>Phase D — Feature pipeline hardening</w:t>
      </w:r>
    </w:p>
    <w:p>
      <w:r>
        <w:t>Move feature logic into a fitted sklearn Pipeline. Fix the quantile-before-split issue using a custom transformer. Save the Pipeline as part of the MLflow model. Add tests/test_features.py with invariance checks (monotonicity, null handling, categorical unseen-value behaviour).</w:t>
      </w:r>
    </w:p>
    <w:p>
      <w:pPr>
        <w:spacing w:after="40"/>
      </w:pPr>
      <w:r>
        <w:rPr>
          <w:b/>
          <w:sz w:val="22"/>
        </w:rPr>
        <w:t>Deliverables</w:t>
      </w:r>
    </w:p>
    <w:p>
      <w:pPr>
        <w:pStyle w:val="ListBullet"/>
        <w:ind w:left="360"/>
      </w:pPr>
      <w:r>
        <w:rPr>
          <w:sz w:val="22"/>
        </w:rPr>
        <w:t>src/features/pipeline.py</w:t>
      </w:r>
    </w:p>
    <w:p>
      <w:pPr>
        <w:pStyle w:val="ListBullet"/>
        <w:ind w:left="360"/>
      </w:pPr>
      <w:r>
        <w:rPr>
          <w:sz w:val="22"/>
        </w:rPr>
        <w:t>tests/test_features.py</w:t>
      </w:r>
    </w:p>
    <w:p>
      <w:pPr>
        <w:pStyle w:val="ListBullet"/>
        <w:ind w:left="360"/>
      </w:pPr>
      <w:r>
        <w:rPr>
          <w:sz w:val="22"/>
        </w:rPr>
        <w:t>Feature pipeline serialised alongside model</w:t>
      </w:r>
    </w:p>
    <w:p>
      <w:pPr>
        <w:spacing w:after="40"/>
      </w:pPr>
      <w:r>
        <w:rPr>
          <w:b/>
          <w:sz w:val="22"/>
        </w:rPr>
        <w:t>Before / after</w:t>
      </w:r>
    </w:p>
    <w:p>
      <w:r>
        <w:rPr>
          <w:i/>
          <w:color w:val="6B6B6B"/>
          <w:sz w:val="21"/>
        </w:rPr>
        <w:t>Before: Pre-split quantile, pandas-only, no fitted transformers</w:t>
      </w:r>
    </w:p>
    <w:p>
      <w:r>
        <w:rPr>
          <w:i/>
          <w:color w:val="6B6B6B"/>
          <w:sz w:val="21"/>
        </w:rPr>
        <w:t>After: No leakage; feature engineering is testable in isolation; features travel with model</w:t>
      </w:r>
    </w:p>
    <w:p>
      <w:pPr>
        <w:pStyle w:val="Heading2"/>
      </w:pPr>
      <w:r>
        <w:t>Phase E — FastAPI serving + Dockerise</w:t>
      </w:r>
    </w:p>
    <w:p>
      <w:r>
        <w:t>Build src/serving/app.py with POST /v1/score, GET /healthz, GET /readyz, GET /metrics. Load the Production model from MLflow on startup. Compute reason codes on each request. Dockerise with serving.Dockerfile. Test locally with curl and a contract test.</w:t>
      </w:r>
    </w:p>
    <w:p>
      <w:pPr>
        <w:spacing w:after="40"/>
      </w:pPr>
      <w:r>
        <w:rPr>
          <w:b/>
          <w:sz w:val="22"/>
        </w:rPr>
        <w:t>Deliverables</w:t>
      </w:r>
    </w:p>
    <w:p>
      <w:pPr>
        <w:pStyle w:val="ListBullet"/>
        <w:ind w:left="360"/>
      </w:pPr>
      <w:r>
        <w:rPr>
          <w:sz w:val="22"/>
        </w:rPr>
        <w:t>src/serving/app.py</w:t>
      </w:r>
    </w:p>
    <w:p>
      <w:pPr>
        <w:pStyle w:val="ListBullet"/>
        <w:ind w:left="360"/>
      </w:pPr>
      <w:r>
        <w:rPr>
          <w:sz w:val="22"/>
        </w:rPr>
        <w:t>docker/serving.Dockerfile</w:t>
      </w:r>
    </w:p>
    <w:p>
      <w:pPr>
        <w:pStyle w:val="ListBullet"/>
        <w:ind w:left="360"/>
      </w:pPr>
      <w:r>
        <w:rPr>
          <w:sz w:val="22"/>
        </w:rPr>
        <w:t>tests/test_scoring_api.py</w:t>
      </w:r>
    </w:p>
    <w:p>
      <w:pPr>
        <w:spacing w:after="40"/>
      </w:pPr>
      <w:r>
        <w:rPr>
          <w:b/>
          <w:sz w:val="22"/>
        </w:rPr>
        <w:t>Before / after</w:t>
      </w:r>
    </w:p>
    <w:p>
      <w:r>
        <w:rPr>
          <w:i/>
          <w:color w:val="6B6B6B"/>
          <w:sz w:val="21"/>
        </w:rPr>
        <w:t>Before: No serving layer</w:t>
      </w:r>
    </w:p>
    <w:p>
      <w:r>
        <w:rPr>
          <w:i/>
          <w:color w:val="6B6B6B"/>
          <w:sz w:val="21"/>
        </w:rPr>
        <w:t>After: Real-time scoring works locally via docker run</w:t>
      </w:r>
    </w:p>
    <w:p>
      <w:pPr>
        <w:pStyle w:val="Heading2"/>
      </w:pPr>
      <w:r>
        <w:t>Phase F — Kubernetes deploy on minikube</w:t>
      </w:r>
    </w:p>
    <w:p>
      <w:r>
        <w:t>Write k8s/ manifests. Deploy the serving container to minikube. Verify via minikube service credit-scorecard --url. Configure the HorizontalPodAutoscaler and demonstrate scale-up under load (hey or wrk).</w:t>
      </w:r>
    </w:p>
    <w:p>
      <w:pPr>
        <w:spacing w:after="40"/>
      </w:pPr>
      <w:r>
        <w:rPr>
          <w:b/>
          <w:sz w:val="22"/>
        </w:rPr>
        <w:t>Deliverables</w:t>
      </w:r>
    </w:p>
    <w:p>
      <w:pPr>
        <w:pStyle w:val="ListBullet"/>
        <w:ind w:left="360"/>
      </w:pPr>
      <w:r>
        <w:rPr>
          <w:sz w:val="22"/>
        </w:rPr>
        <w:t>k8s/deployment.yaml, service.yaml, ingress.yaml, configmap.yaml, secret.example.yaml, hpa.yaml</w:t>
      </w:r>
    </w:p>
    <w:p>
      <w:pPr>
        <w:pStyle w:val="ListBullet"/>
        <w:ind w:left="360"/>
      </w:pPr>
      <w:r>
        <w:rPr>
          <w:sz w:val="22"/>
        </w:rPr>
        <w:t>Screenshot of kubectl get pods showing replica scale-up</w:t>
      </w:r>
    </w:p>
    <w:p>
      <w:pPr>
        <w:spacing w:after="40"/>
      </w:pPr>
      <w:r>
        <w:rPr>
          <w:b/>
          <w:sz w:val="22"/>
        </w:rPr>
        <w:t>Before / after</w:t>
      </w:r>
    </w:p>
    <w:p>
      <w:r>
        <w:rPr>
          <w:i/>
          <w:color w:val="6B6B6B"/>
          <w:sz w:val="21"/>
        </w:rPr>
        <w:t>Before: Container runs on a laptop</w:t>
      </w:r>
    </w:p>
    <w:p>
      <w:r>
        <w:rPr>
          <w:i/>
          <w:color w:val="6B6B6B"/>
          <w:sz w:val="21"/>
        </w:rPr>
        <w:t>After: Service runs on a real orchestrator; manifests work unchanged against a cloud cluster</w:t>
      </w:r>
    </w:p>
    <w:p>
      <w:pPr>
        <w:pStyle w:val="Heading2"/>
      </w:pPr>
      <w:r>
        <w:t>Phase G — Batch scoring flow in Prefect</w:t>
      </w:r>
    </w:p>
    <w:p>
      <w:r>
        <w:t>Build the Prefect flow that pulls from DuckDB, runs the data-contract suite, applies the feature pipeline, scores with the Production model, and writes back to marts.scores. Schedule it nightly. Instrument it with the monitoring metrics from Section 11.4.</w:t>
      </w:r>
    </w:p>
    <w:p>
      <w:pPr>
        <w:spacing w:after="40"/>
      </w:pPr>
      <w:r>
        <w:rPr>
          <w:b/>
          <w:sz w:val="22"/>
        </w:rPr>
        <w:t>Deliverables</w:t>
      </w:r>
    </w:p>
    <w:p>
      <w:pPr>
        <w:pStyle w:val="ListBullet"/>
        <w:ind w:left="360"/>
      </w:pPr>
      <w:r>
        <w:rPr>
          <w:sz w:val="22"/>
        </w:rPr>
        <w:t>src/batch/score_flow.py</w:t>
      </w:r>
    </w:p>
    <w:p>
      <w:pPr>
        <w:pStyle w:val="ListBullet"/>
        <w:ind w:left="360"/>
      </w:pPr>
      <w:r>
        <w:rPr>
          <w:sz w:val="22"/>
        </w:rPr>
        <w:t>Prefect deployment definition</w:t>
      </w:r>
    </w:p>
    <w:p>
      <w:pPr>
        <w:pStyle w:val="ListBullet"/>
        <w:ind w:left="360"/>
      </w:pPr>
      <w:r>
        <w:rPr>
          <w:sz w:val="22"/>
        </w:rPr>
        <w:t>marts.scores table populated</w:t>
      </w:r>
    </w:p>
    <w:p>
      <w:pPr>
        <w:spacing w:after="40"/>
      </w:pPr>
      <w:r>
        <w:rPr>
          <w:b/>
          <w:sz w:val="22"/>
        </w:rPr>
        <w:t>Before / after</w:t>
      </w:r>
    </w:p>
    <w:p>
      <w:r>
        <w:rPr>
          <w:i/>
          <w:color w:val="6B6B6B"/>
          <w:sz w:val="21"/>
        </w:rPr>
        <w:t>Before: No batch workflow</w:t>
      </w:r>
    </w:p>
    <w:p>
      <w:r>
        <w:rPr>
          <w:i/>
          <w:color w:val="6B6B6B"/>
          <w:sz w:val="21"/>
        </w:rPr>
        <w:t>After: Full batch DAG with retries, idempotency, observability</w:t>
      </w:r>
    </w:p>
    <w:p>
      <w:pPr>
        <w:pStyle w:val="Heading2"/>
      </w:pPr>
      <w:r>
        <w:t>Phase H — Governance artefacts and dashboards</w:t>
      </w:r>
    </w:p>
    <w:p>
      <w:r>
        <w:t>Auto-generate a model card per registered model (src/governance/model_card.py). Stand up Grafana dashboards for PSI, KS, serving latency, error rate. Write a short validation pack (1-pager) for the current Production model.</w:t>
      </w:r>
    </w:p>
    <w:p>
      <w:pPr>
        <w:spacing w:after="40"/>
      </w:pPr>
      <w:r>
        <w:rPr>
          <w:b/>
          <w:sz w:val="22"/>
        </w:rPr>
        <w:t>Deliverables</w:t>
      </w:r>
    </w:p>
    <w:p>
      <w:pPr>
        <w:pStyle w:val="ListBullet"/>
        <w:ind w:left="360"/>
      </w:pPr>
      <w:r>
        <w:rPr>
          <w:sz w:val="22"/>
        </w:rPr>
        <w:t>src/governance/model_card.py</w:t>
      </w:r>
    </w:p>
    <w:p>
      <w:pPr>
        <w:pStyle w:val="ListBullet"/>
        <w:ind w:left="360"/>
      </w:pPr>
      <w:r>
        <w:rPr>
          <w:sz w:val="22"/>
        </w:rPr>
        <w:t>monitoring/grafana/dashboards/ JSONs</w:t>
      </w:r>
    </w:p>
    <w:p>
      <w:pPr>
        <w:pStyle w:val="ListBullet"/>
        <w:ind w:left="360"/>
      </w:pPr>
      <w:r>
        <w:rPr>
          <w:sz w:val="22"/>
        </w:rPr>
        <w:t>docs/validation_pack_v1.pdf</w:t>
      </w:r>
    </w:p>
    <w:p>
      <w:pPr>
        <w:spacing w:after="40"/>
      </w:pPr>
      <w:r>
        <w:rPr>
          <w:b/>
          <w:sz w:val="22"/>
        </w:rPr>
        <w:t>Before / after</w:t>
      </w:r>
    </w:p>
    <w:p>
      <w:r>
        <w:rPr>
          <w:i/>
          <w:color w:val="6B6B6B"/>
          <w:sz w:val="21"/>
        </w:rPr>
        <w:t>Before: No documentation</w:t>
      </w:r>
    </w:p>
    <w:p>
      <w:r>
        <w:rPr>
          <w:i/>
          <w:color w:val="6B6B6B"/>
          <w:sz w:val="21"/>
        </w:rPr>
        <w:t>After: A package that a model risk reviewer can read cold</w:t>
      </w:r>
    </w:p>
    <w:p>
      <w:r>
        <w:br w:type="page"/>
      </w:r>
    </w:p>
    <w:p>
      <w:pPr>
        <w:pStyle w:val="Heading1"/>
      </w:pPr>
      <w:r>
        <w:t>14. Risks, Tradeoffs, and Open Questions</w:t>
      </w:r>
    </w:p>
    <w:tbl>
      <w:tblPr>
        <w:tblW w:type="auto" w:w="0"/>
        <w:jc w:val="left"/>
        <w:tblLook w:firstColumn="1" w:firstRow="1" w:lastColumn="0" w:lastRow="0" w:noHBand="0" w:noVBand="1" w:val="04A0"/>
      </w:tblPr>
      <w:tblGrid>
        <w:gridCol w:w="3120"/>
        <w:gridCol w:w="3120"/>
        <w:gridCol w:w="3120"/>
      </w:tblGrid>
      <w:tr>
        <w:tc>
          <w:tcPr>
            <w:tcW w:type="dxa" w:w="2592"/>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Item</w:t>
            </w:r>
          </w:p>
        </w:tc>
        <w:tc>
          <w:tcPr>
            <w:tcW w:type="dxa" w:w="158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Type</w:t>
            </w:r>
          </w:p>
        </w:tc>
        <w:tc>
          <w:tcPr>
            <w:tcW w:type="dxa" w:w="5184"/>
            <w:tcBorders>
              <w:top w:val="single" w:sz="4" w:space="0" w:color="FFFFFF"/>
              <w:left w:val="single" w:sz="4" w:space="0" w:color="FFFFFF"/>
              <w:bottom w:val="single" w:sz="4" w:space="0" w:color="FFFFFF"/>
              <w:right w:val="single" w:sz="4" w:space="0" w:color="FFFFFF"/>
            </w:tcBorders>
            <w:shd w:val="clear" w:color="auto" w:fill="1F3A5F"/>
            <w:vAlign w:val="center"/>
          </w:tcPr>
          <w:p>
            <w:r/>
            <w:r>
              <w:rPr>
                <w:b/>
                <w:color w:val="FFFFFF"/>
                <w:sz w:val="20"/>
              </w:rPr>
              <w:t>Discussion</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Spark is overkill at 45k rows</w:t>
            </w:r>
          </w:p>
        </w:tc>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Tradeoff</w:t>
            </w:r>
          </w:p>
        </w:tc>
        <w:tc>
          <w:tcPr>
            <w:tcW w:type="dxa" w:w="5184"/>
            <w:tcBorders>
              <w:top w:val="single" w:sz="4" w:space="0" w:color="BFBFBF"/>
              <w:left w:val="single" w:sz="4" w:space="0" w:color="BFBFBF"/>
              <w:bottom w:val="single" w:sz="4" w:space="0" w:color="BFBFBF"/>
              <w:right w:val="single" w:sz="4" w:space="0" w:color="BFBFBF"/>
            </w:tcBorders>
            <w:vAlign w:val="top"/>
          </w:tcPr>
          <w:p>
            <w:r/>
            <w:r>
              <w:rPr>
                <w:sz w:val="19"/>
              </w:rPr>
              <w:t>Accepted for learning value. The day the dataset grows to millions, the code is ready.</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minikube is not a realistic production cluster</w:t>
            </w:r>
          </w:p>
        </w:tc>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Tradeoff</w:t>
            </w:r>
          </w:p>
        </w:tc>
        <w:tc>
          <w:tcPr>
            <w:tcW w:type="dxa" w:w="51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True. minikube teaches Kubernetes concepts but does not teach multi-node operations (networking, storage classes, operators). A stretch goal is to lift Phase F into EKS or GKE for a few hours and document the delta.</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DuckDB diverges from Snowflake DDL</w:t>
            </w:r>
          </w:p>
        </w:tc>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Risk</w:t>
            </w:r>
          </w:p>
        </w:tc>
        <w:tc>
          <w:tcPr>
            <w:tcW w:type="dxa" w:w="5184"/>
            <w:tcBorders>
              <w:top w:val="single" w:sz="4" w:space="0" w:color="BFBFBF"/>
              <w:left w:val="single" w:sz="4" w:space="0" w:color="BFBFBF"/>
              <w:bottom w:val="single" w:sz="4" w:space="0" w:color="BFBFBF"/>
              <w:right w:val="single" w:sz="4" w:space="0" w:color="BFBFBF"/>
            </w:tcBorders>
            <w:vAlign w:val="top"/>
          </w:tcPr>
          <w:p>
            <w:r/>
            <w:r>
              <w:rPr>
                <w:sz w:val="19"/>
              </w:rPr>
              <w:t>Low for the queries this project issues. Keep SQL portable (ANSI-leaning), defer Snowflake-specific features (streams, tasks) until real Snowflake is used.</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DRA features governance</w:t>
            </w:r>
          </w:p>
        </w:tc>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Open question</w:t>
            </w:r>
          </w:p>
        </w:tc>
        <w:tc>
          <w:tcPr>
            <w:tcW w:type="dxa" w:w="51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Validator scrutiny on psychometric features is higher than on bureau features. Section 11.6 lists specific checks; these should be elevated to Phase H deliverables.</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Real PII handling</w:t>
            </w:r>
          </w:p>
        </w:tc>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Open question</w:t>
            </w:r>
          </w:p>
        </w:tc>
        <w:tc>
          <w:tcPr>
            <w:tcW w:type="dxa" w:w="5184"/>
            <w:tcBorders>
              <w:top w:val="single" w:sz="4" w:space="0" w:color="BFBFBF"/>
              <w:left w:val="single" w:sz="4" w:space="0" w:color="BFBFBF"/>
              <w:bottom w:val="single" w:sz="4" w:space="0" w:color="BFBFBF"/>
              <w:right w:val="single" w:sz="4" w:space="0" w:color="BFBFBF"/>
            </w:tcBorders>
            <w:vAlign w:val="top"/>
          </w:tcPr>
          <w:p>
            <w:r/>
            <w:r>
              <w:rPr>
                <w:sz w:val="19"/>
              </w:rPr>
              <w:t>Simulated data only today. If real data is introduced, POPIA obligations kick in — hashing at staging, purpose limitation, retention policy. Address before the first real load.</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Model card generation</w:t>
            </w:r>
          </w:p>
        </w:tc>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Risk</w:t>
            </w:r>
          </w:p>
        </w:tc>
        <w:tc>
          <w:tcPr>
            <w:tcW w:type="dxa" w:w="51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Auto-generation captures what MLflow knows. The qualitative fields (intended use, ethical considerations, limitations) must be filled in by the model owner and reviewed. Don't auto-ship a model with empty qualitative sections.</w:t>
            </w:r>
          </w:p>
        </w:tc>
      </w:tr>
      <w:tr>
        <w:tc>
          <w:tcPr>
            <w:tcW w:type="dxa" w:w="2592"/>
            <w:tcBorders>
              <w:top w:val="single" w:sz="4" w:space="0" w:color="BFBFBF"/>
              <w:left w:val="single" w:sz="4" w:space="0" w:color="BFBFBF"/>
              <w:bottom w:val="single" w:sz="4" w:space="0" w:color="BFBFBF"/>
              <w:right w:val="single" w:sz="4" w:space="0" w:color="BFBFBF"/>
            </w:tcBorders>
            <w:vAlign w:val="top"/>
          </w:tcPr>
          <w:p>
            <w:r/>
            <w:r>
              <w:rPr>
                <w:sz w:val="19"/>
              </w:rPr>
              <w:t>Latency of SHAP reason codes</w:t>
            </w:r>
          </w:p>
        </w:tc>
        <w:tc>
          <w:tcPr>
            <w:tcW w:type="dxa" w:w="1584"/>
            <w:tcBorders>
              <w:top w:val="single" w:sz="4" w:space="0" w:color="BFBFBF"/>
              <w:left w:val="single" w:sz="4" w:space="0" w:color="BFBFBF"/>
              <w:bottom w:val="single" w:sz="4" w:space="0" w:color="BFBFBF"/>
              <w:right w:val="single" w:sz="4" w:space="0" w:color="BFBFBF"/>
            </w:tcBorders>
            <w:vAlign w:val="top"/>
          </w:tcPr>
          <w:p>
            <w:r/>
            <w:r>
              <w:rPr>
                <w:sz w:val="19"/>
              </w:rPr>
              <w:t>Risk</w:t>
            </w:r>
          </w:p>
        </w:tc>
        <w:tc>
          <w:tcPr>
            <w:tcW w:type="dxa" w:w="5184"/>
            <w:tcBorders>
              <w:top w:val="single" w:sz="4" w:space="0" w:color="BFBFBF"/>
              <w:left w:val="single" w:sz="4" w:space="0" w:color="BFBFBF"/>
              <w:bottom w:val="single" w:sz="4" w:space="0" w:color="BFBFBF"/>
              <w:right w:val="single" w:sz="4" w:space="0" w:color="BFBFBF"/>
            </w:tcBorders>
            <w:vAlign w:val="top"/>
          </w:tcPr>
          <w:p>
            <w:r/>
            <w:r>
              <w:rPr>
                <w:sz w:val="19"/>
              </w:rPr>
              <w:t>Tree-based SHAP is usually fast; if it is not, batch-precompute per-segment reason codes and join at request time. This becomes relevant only if p99 latency blows through the target.</w:t>
            </w:r>
          </w:p>
        </w:tc>
      </w:tr>
      <w:tr>
        <w:tc>
          <w:tcPr>
            <w:tcW w:type="dxa" w:w="2592"/>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Vendor lock-in (Databricks / Snowflake)</w:t>
            </w:r>
          </w:p>
        </w:tc>
        <w:tc>
          <w:tcPr>
            <w:tcW w:type="dxa" w:w="15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Tradeoff</w:t>
            </w:r>
          </w:p>
        </w:tc>
        <w:tc>
          <w:tcPr>
            <w:tcW w:type="dxa" w:w="5184"/>
            <w:tcBorders>
              <w:top w:val="single" w:sz="4" w:space="0" w:color="BFBFBF"/>
              <w:left w:val="single" w:sz="4" w:space="0" w:color="BFBFBF"/>
              <w:bottom w:val="single" w:sz="4" w:space="0" w:color="BFBFBF"/>
              <w:right w:val="single" w:sz="4" w:space="0" w:color="BFBFBF"/>
            </w:tcBorders>
            <w:shd w:val="clear" w:color="auto" w:fill="F4F7FA"/>
            <w:vAlign w:val="top"/>
          </w:tcPr>
          <w:p>
            <w:r/>
            <w:r>
              <w:rPr>
                <w:sz w:val="19"/>
              </w:rPr>
              <w:t>Accepted. The alternative — a purely open-source stack — is cheaper but loses some of the learning value. The architecture is portable enough that replatforming is a quarter of work, not a year.</w:t>
            </w:r>
          </w:p>
        </w:tc>
      </w:tr>
    </w:tbl>
    <w:p>
      <w:r>
        <w:br w:type="page"/>
      </w:r>
    </w:p>
    <w:p>
      <w:pPr>
        <w:pStyle w:val="Heading1"/>
      </w:pPr>
      <w:r>
        <w:t>15. Glossary</w:t>
      </w:r>
    </w:p>
    <w:p>
      <w:pPr>
        <w:spacing w:after="80"/>
        <w:ind w:left="360"/>
      </w:pPr>
      <w:r>
        <w:rPr>
          <w:b/>
          <w:color w:val="1F3A5F"/>
        </w:rPr>
        <w:t xml:space="preserve">Bad rate — </w:t>
      </w:r>
      <w:r>
        <w:t>Fraction of the training population with TARGET = 1 (defaulted). ~24% in this dataset.</w:t>
      </w:r>
    </w:p>
    <w:p>
      <w:pPr>
        <w:spacing w:after="80"/>
        <w:ind w:left="360"/>
      </w:pPr>
      <w:r>
        <w:rPr>
          <w:b/>
          <w:color w:val="1F3A5F"/>
        </w:rPr>
        <w:t xml:space="preserve">Challenger model — </w:t>
      </w:r>
      <w:r>
        <w:t>A model trained alongside the production (champion) model, used to test whether a better candidate exists. Runs in shadow.</w:t>
      </w:r>
    </w:p>
    <w:p>
      <w:pPr>
        <w:spacing w:after="80"/>
        <w:ind w:left="360"/>
      </w:pPr>
      <w:r>
        <w:rPr>
          <w:b/>
          <w:color w:val="1F3A5F"/>
        </w:rPr>
        <w:t xml:space="preserve">DRA — </w:t>
      </w:r>
      <w:r>
        <w:t>Behavioural / psychometric assessment features used as inputs to the credit model.</w:t>
      </w:r>
    </w:p>
    <w:p>
      <w:pPr>
        <w:spacing w:after="80"/>
        <w:ind w:left="360"/>
      </w:pPr>
      <w:r>
        <w:rPr>
          <w:b/>
          <w:color w:val="1F3A5F"/>
        </w:rPr>
        <w:t xml:space="preserve">Gini coefficient — </w:t>
      </w:r>
      <w:r>
        <w:t>2 × AUC − 1. Standard credit-risk discrimination metric.</w:t>
      </w:r>
    </w:p>
    <w:p>
      <w:pPr>
        <w:spacing w:after="80"/>
        <w:ind w:left="360"/>
      </w:pPr>
      <w:r>
        <w:rPr>
          <w:b/>
          <w:color w:val="1F3A5F"/>
        </w:rPr>
        <w:t xml:space="preserve">Idempotent — </w:t>
      </w:r>
      <w:r>
        <w:t>A job that produces the same output no matter how many times it is run on the same input. Required for safe retries.</w:t>
      </w:r>
    </w:p>
    <w:p>
      <w:pPr>
        <w:spacing w:after="80"/>
        <w:ind w:left="360"/>
      </w:pPr>
      <w:r>
        <w:rPr>
          <w:b/>
          <w:color w:val="1F3A5F"/>
        </w:rPr>
        <w:t xml:space="preserve">KS (Kolmogorov-Smirnov) — </w:t>
      </w:r>
      <w:r>
        <w:t>Maximum separation between good and bad cumulative score distributions. Standard credit-risk metric.</w:t>
      </w:r>
    </w:p>
    <w:p>
      <w:pPr>
        <w:spacing w:after="80"/>
        <w:ind w:left="360"/>
      </w:pPr>
      <w:r>
        <w:rPr>
          <w:b/>
          <w:color w:val="1F3A5F"/>
        </w:rPr>
        <w:t xml:space="preserve">MLflow — </w:t>
      </w:r>
      <w:r>
        <w:t>Open-source experiment tracking + model registry. Component of the Databricks platform.</w:t>
      </w:r>
    </w:p>
    <w:p>
      <w:pPr>
        <w:spacing w:after="80"/>
        <w:ind w:left="360"/>
      </w:pPr>
      <w:r>
        <w:rPr>
          <w:b/>
          <w:color w:val="1F3A5F"/>
        </w:rPr>
        <w:t xml:space="preserve">PSI (Population Stability Index) — </w:t>
      </w:r>
      <w:r>
        <w:t>Measure of distribution shift between a reference and a current sample. PSI &gt; 0.25 is conventionally the "investigate" threshold in credit.</w:t>
      </w:r>
    </w:p>
    <w:p>
      <w:pPr>
        <w:spacing w:after="80"/>
        <w:ind w:left="360"/>
      </w:pPr>
      <w:r>
        <w:rPr>
          <w:b/>
          <w:color w:val="1F3A5F"/>
        </w:rPr>
        <w:t xml:space="preserve">Reason codes — </w:t>
      </w:r>
      <w:r>
        <w:t>Ordered list of features that drove a given score, exposed to both internal reviewers and adverse-action letters.</w:t>
      </w:r>
    </w:p>
    <w:p>
      <w:pPr>
        <w:spacing w:after="80"/>
        <w:ind w:left="360"/>
      </w:pPr>
      <w:r>
        <w:rPr>
          <w:b/>
          <w:color w:val="1F3A5F"/>
        </w:rPr>
        <w:t xml:space="preserve">Scorecard — </w:t>
      </w:r>
      <w:r>
        <w:t>A calibrated logistic regression converted via an offset/factor transformation to a human-readable credit score.</w:t>
      </w:r>
    </w:p>
    <w:p>
      <w:pPr>
        <w:spacing w:after="80"/>
        <w:ind w:left="360"/>
      </w:pPr>
      <w:r>
        <w:rPr>
          <w:b/>
          <w:color w:val="1F3A5F"/>
        </w:rPr>
        <w:t xml:space="preserve">SR 11-7 — </w:t>
      </w:r>
      <w:r>
        <w:t>US Federal Reserve supervisory guidance on model risk management. The reference framework most credit-risk teams align to, even outside the US.</w:t>
      </w:r>
    </w:p>
    <w:p>
      <w:pPr>
        <w:spacing w:after="80"/>
        <w:ind w:left="360"/>
      </w:pPr>
      <w:r>
        <w:rPr>
          <w:b/>
          <w:color w:val="1F3A5F"/>
        </w:rPr>
        <w:t xml:space="preserve">TreeSHAP — </w:t>
      </w:r>
      <w:r>
        <w:t>An efficient algorithm for computing SHAP values on tree ensembles (RF, GBM). Typically used for reason codes when the model is tree-based.</w:t>
      </w:r>
    </w:p>
    <w:p>
      <w:r>
        <w:br w:type="page"/>
      </w:r>
    </w:p>
    <w:p>
      <w:pPr>
        <w:pStyle w:val="Heading1"/>
      </w:pPr>
      <w:r>
        <w:t>16. References</w:t>
      </w:r>
    </w:p>
    <w:p>
      <w:pPr>
        <w:pStyle w:val="ListBullet"/>
        <w:ind w:left="360"/>
      </w:pPr>
      <w:r>
        <w:rPr>
          <w:sz w:val="22"/>
        </w:rPr>
        <w:t>Federal Reserve SR 11-7: "Guidance on Model Risk Management" (2011). The canonical MRM reference.</w:t>
      </w:r>
    </w:p>
    <w:p>
      <w:pPr>
        <w:pStyle w:val="ListBullet"/>
        <w:ind w:left="360"/>
      </w:pPr>
      <w:r>
        <w:rPr>
          <w:sz w:val="22"/>
        </w:rPr>
        <w:t>Bank of England PRA SS1/23: "Model risk management principles for banks" (2023). UK equivalent of SR 11-7, slightly more prescriptive.</w:t>
      </w:r>
    </w:p>
    <w:p>
      <w:pPr>
        <w:pStyle w:val="ListBullet"/>
        <w:ind w:left="360"/>
      </w:pPr>
      <w:r>
        <w:rPr>
          <w:sz w:val="22"/>
        </w:rPr>
        <w:t>South African Prudential Authority and FSCA: general Treating Customers Fairly (TCF) and POPIA guidance.</w:t>
      </w:r>
    </w:p>
    <w:p>
      <w:pPr>
        <w:pStyle w:val="ListBullet"/>
        <w:ind w:left="360"/>
      </w:pPr>
      <w:r>
        <w:rPr>
          <w:sz w:val="22"/>
        </w:rPr>
        <w:t>Databricks — "MLflow Model Registry" documentation. https://docs.databricks.com/en/mlflow/index.html</w:t>
      </w:r>
    </w:p>
    <w:p>
      <w:pPr>
        <w:pStyle w:val="ListBullet"/>
        <w:ind w:left="360"/>
      </w:pPr>
      <w:r>
        <w:rPr>
          <w:sz w:val="22"/>
        </w:rPr>
        <w:t>Snowflake — "Time Travel" documentation. https://docs.snowflake.com/en/user-guide/data-time-travel</w:t>
      </w:r>
    </w:p>
    <w:p>
      <w:pPr>
        <w:pStyle w:val="ListBullet"/>
        <w:ind w:left="360"/>
      </w:pPr>
      <w:r>
        <w:rPr>
          <w:sz w:val="22"/>
        </w:rPr>
        <w:t>Apache Spark MLlib — "ML Pipelines" documentation. https://spark.apache.org/docs/latest/ml-pipeline.html</w:t>
      </w:r>
    </w:p>
    <w:p>
      <w:pPr>
        <w:pStyle w:val="ListBullet"/>
        <w:ind w:left="360"/>
      </w:pPr>
      <w:r>
        <w:rPr>
          <w:sz w:val="22"/>
        </w:rPr>
        <w:t>Great Expectations — "Data Docs". https://greatexpectations.io/</w:t>
      </w:r>
    </w:p>
    <w:p>
      <w:pPr>
        <w:pStyle w:val="ListBullet"/>
        <w:ind w:left="360"/>
      </w:pPr>
      <w:r>
        <w:rPr>
          <w:sz w:val="22"/>
        </w:rPr>
        <w:t>Google — "Model Cards for Model Reporting" (Mitchell et al., 2019).</w:t>
      </w:r>
    </w:p>
    <w:p>
      <w:pPr>
        <w:pStyle w:val="ListBullet"/>
        <w:ind w:left="360"/>
      </w:pPr>
      <w:r>
        <w:rPr>
          <w:sz w:val="22"/>
        </w:rPr>
        <w:t>Prefect — "Flows, tasks, and deployments". https://docs.prefect.io/</w:t>
      </w:r>
    </w:p>
    <w:p>
      <w:pPr>
        <w:pStyle w:val="ListBullet"/>
        <w:ind w:left="360"/>
      </w:pPr>
      <w:r>
        <w:rPr>
          <w:sz w:val="22"/>
        </w:rPr>
        <w:t>FastAPI — "Bigger Applications" and "Dependencies". https://fastapi.tiangolo.com/</w:t>
      </w:r>
    </w:p>
    <w:p>
      <w:pPr>
        <w:pStyle w:val="ListBullet"/>
        <w:ind w:left="360"/>
      </w:pPr>
      <w:r>
        <w:rPr>
          <w:sz w:val="22"/>
        </w:rPr>
        <w:t>Kubernetes — "Production-Grade Deployments" documentation. https://kubernetes.io/docs/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6B6B"/>
        <w:sz w:val="18"/>
      </w:rPr>
      <w:t>Credit Risk Pipeline — Production Architecture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