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jc w:val="center"/>
        <w:rPr>
          <w:rFonts w:ascii="Garamond" w:cs="Garamond" w:eastAsia="Garamond" w:hAnsi="Garamond"/>
          <w:b w:val="1"/>
          <w:bCs w:val="1"/>
          <w:sz w:val="48"/>
          <w:szCs w:val="48"/>
        </w:rPr>
      </w:pPr>
      <w:r>
        <w:rPr>
          <w:rFonts w:ascii="Garamond" w:hAnsi="Garamond" w:eastAsia="Garamond"/>
          <w:b/>
          <w:sz w:val="48"/>
        </w:rPr>
        <w:t>HALVETH SCARLET</w:t>
      </w:r>
    </w:p>
    <w:p w14:paraId="00000003">
      <w:pPr>
        <w:jc w:val="center"/>
        <w:rPr>
          <w:rFonts w:ascii="Garamond" w:cs="Garamond" w:eastAsia="Garamond" w:hAnsi="Garamond"/>
          <w:b w:val="1"/>
          <w:bCs w:val="1"/>
        </w:rPr>
      </w:pPr>
      <w:r>
        <w:rPr>
          <w:rFonts w:ascii="Garamond" w:hAnsi="Garamond" w:eastAsia="Garamond"/>
          <w:b/>
          <w:sz w:val="21"/>
        </w:rPr>
        <w:t>PORTAL-, ZUGÄNGLICHKEITS- UND PROVENIENZMEMORANDUM</w:t>
      </w:r>
    </w:p>
    <w:p w14:paraId="00000004">
      <w:pPr>
        <w:jc w:val="both"/>
        <w:rPr>
          <w:rFonts w:ascii="Garamond" w:cs="Garamond" w:eastAsia="Garamond" w:hAnsi="Garamond"/>
        </w:rPr>
      </w:pPr>
      <w:r>
        <w:rPr>
          <w:rFonts w:ascii="Garamond" w:hAnsi="Garamond" w:eastAsia="Garamond"/>
          <w:b/>
          <w:sz w:val="24"/>
        </w:rPr>
        <w:t>An</w:t>
      </w:r>
      <w:r>
        <w:rPr>
          <w:rFonts w:ascii="Garamond" w:hAnsi="Garamond" w:eastAsia="Garamond"/>
          <w:sz w:val="24"/>
        </w:rPr>
        <w:t>:</w:t>
        <w:tab/>
        <w:t>Juri-Halveth · Projekt HALVETH Scarlet</w:t>
      </w:r>
    </w:p>
    <w:p w14:paraId="00000005">
      <w:pPr>
        <w:ind w:firstLine="720"/>
        <w:jc w:val="both"/>
        <w:rPr>
          <w:rFonts w:ascii="Garamond" w:cs="Garamond" w:eastAsia="Garamond" w:hAnsi="Garamond"/>
        </w:rPr>
      </w:pPr>
      <w:r>
        <w:rPr>
          <w:rFonts w:ascii="Garamond" w:hAnsi="Garamond" w:eastAsia="Garamond"/>
          <w:sz w:val="24"/>
        </w:rPr>
      </w:r>
    </w:p>
    <w:p w14:paraId="00000006">
      <w:pPr>
        <w:jc w:val="both"/>
        <w:rPr>
          <w:rFonts w:ascii="Garamond" w:cs="Garamond" w:eastAsia="Garamond" w:hAnsi="Garamond"/>
        </w:rPr>
      </w:pPr>
      <w:r>
        <w:rPr>
          <w:rFonts w:ascii="Garamond" w:hAnsi="Garamond" w:eastAsia="Garamond"/>
          <w:b/>
          <w:sz w:val="24"/>
        </w:rPr>
        <w:t>Von</w:t>
      </w:r>
      <w:r>
        <w:rPr>
          <w:rFonts w:ascii="Garamond" w:hAnsi="Garamond" w:eastAsia="Garamond"/>
          <w:sz w:val="24"/>
        </w:rPr>
        <w:t>:</w:t>
        <w:tab/>
        <w:t>Codex · Dokumentationsentwurf</w:t>
      </w:r>
    </w:p>
    <w:p w14:paraId="00000007">
      <w:pPr>
        <w:jc w:val="both"/>
        <w:rPr>
          <w:rFonts w:ascii="Garamond" w:cs="Garamond" w:eastAsia="Garamond" w:hAnsi="Garamond"/>
        </w:rPr>
      </w:pPr>
      <w:r>
        <w:rPr>
          <w:rFonts w:ascii="Garamond" w:hAnsi="Garamond" w:eastAsia="Garamond"/>
          <w:b/>
          <w:sz w:val="24"/>
        </w:rPr>
        <w:t>Datum</w:t>
      </w:r>
      <w:r>
        <w:rPr>
          <w:rFonts w:ascii="Garamond" w:hAnsi="Garamond" w:eastAsia="Garamond"/>
          <w:sz w:val="24"/>
        </w:rPr>
        <w:t>:</w:t>
        <w:tab/>
        <w:t>13. September 2026</w:t>
      </w:r>
    </w:p>
    <w:p w14:paraId="00000008">
      <w:pPr>
        <w:pBdr>
          <w:bottom w:color="000000" w:space="1" w:sz="6" w:val="single"/>
        </w:pBdr>
        <w:jc w:val="both"/>
        <w:rPr>
          <w:rFonts w:ascii="Garamond" w:cs="Garamond" w:eastAsia="Garamond" w:hAnsi="Garamond"/>
        </w:rPr>
      </w:pPr>
      <w:r>
        <w:rPr>
          <w:rFonts w:ascii="Garamond" w:hAnsi="Garamond" w:eastAsia="Garamond"/>
          <w:b/>
          <w:sz w:val="24"/>
        </w:rPr>
        <w:t>Betreff</w:t>
      </w:r>
      <w:r>
        <w:rPr>
          <w:rFonts w:ascii="Garamond" w:hAnsi="Garamond" w:eastAsia="Garamond"/>
          <w:sz w:val="24"/>
        </w:rPr>
        <w:t>:</w:t>
        <w:tab/>
        <w:t>Portalarchitektur, Zugänglichkeit, Herkunftsnachweis und Freigabegrenzen</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pPr>
      <w:r>
        <w:rPr>
          <w:rFonts w:ascii="Garamond" w:hAnsi="Garamond" w:eastAsia="Garamond"/>
          <w:b/>
          <w:sz w:val="24"/>
          <w:u w:val="single"/>
        </w:rPr>
        <w:t>Ausgangslage</w:t>
      </w:r>
    </w:p>
    <w:p w14:paraId="0000000C">
      <w:pPr>
        <w:spacing w:line="360" w:lineRule="auto"/>
        <w:jc w:val="both"/>
        <w:rPr>
          <w:rFonts w:ascii="Garamond" w:cs="Garamond" w:eastAsia="Garamond" w:hAnsi="Garamond"/>
        </w:rPr>
      </w:pPr>
      <w:r>
        <w:rPr>
          <w:rFonts w:ascii="Garamond" w:hAnsi="Garamond" w:eastAsia="Garamond"/>
          <w:sz w:val="24"/>
        </w:rPr>
        <w:tab/>
        <w:t>Dieses Memorandum hält den prüfbaren Zielstand für den Umbau von HALVETH Scarlet zu einem zusammenhängenden Portal fest. Acht vorhandene HTML-Einstiege erhalten eine gemeinsame Navigation, eine verständliche Raumkarte und vier klar zugeordnete Bildwelten. Die vorhandenen Texte und Funktionen bleiben die fachliche Substanz; die neue Schale macht Zugehörigkeit, Wechsel und Orientierung sichtbar. Der Gedankenstrich „—“ bleibt erhalten, wo er Satzteile, Rhythmus oder eine offene Beziehung präzise trägt. Ein Satzzeichen ist für sich kein belastbarer Herkunftsnachweis.</w:t>
      </w:r>
    </w:p>
    <w:p w14:paraId="0000000D">
      <w:pPr>
        <w:spacing w:line="360" w:lineRule="auto"/>
        <w:jc w:val="both"/>
        <w:rPr>
          <w:rFonts w:ascii="Garamond" w:cs="Garamond" w:eastAsia="Garamond" w:hAnsi="Garamond"/>
        </w:rPr>
      </w:pPr>
      <w:r>
        <w:rPr>
          <w:rFonts w:ascii="Garamond" w:hAnsi="Garamond" w:eastAsia="Garamond"/>
          <w:sz w:val="24"/>
        </w:rPr>
        <w:tab/>
        <w:t>Die Prüfung trennt Beobachtung, Schlussfolgerung und offene Frage. Beobachtet sind die lokale Seitenstruktur, die bereitgestellten Bilddateien, der untersuchte Git-Verlauf sowie die öffentlich dokumentierte Funktionsweise von GitHub-Trailern und den herangezogenen W3C-Kriterien. Abgeleitet werden daraus Portalrollen, Bildzuordnung und Bedienregeln. Unbekannt bleiben insbesondere die Ursache einer erst später sichtbaren Contributor-Anzeige, die tatsächliche Arbeitsverteilung hinter einem Trailer und jede Außenwirkung vor einem dokumentierten Push oder Deployment.</w:t>
      </w:r>
    </w:p>
    <w:p w14:paraId="0000000E">
      <w:pPr>
        <w:spacing w:line="360" w:lineRule="auto"/>
        <w:ind w:firstLine="720"/>
        <w:jc w:val="both"/>
        <w:rPr>
          <w:rFonts w:ascii="Garamond" w:cs="Garamond" w:eastAsia="Garamond" w:hAnsi="Garamond"/>
        </w:rPr>
      </w:pPr>
      <w:r>
        <w:rPr>
          <w:rFonts w:ascii="Garamond" w:hAnsi="Garamond" w:eastAsia="Garamond"/>
          <w:sz w:val="24"/>
        </w:rPr>
        <w:t>Geprüfte Quellen und Arbeitsbelege, Abruf beziehungsweise Prüfstand 13.09.2026:</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hAnsi="Garamond" w:eastAsia="Garamond"/>
          <w:sz w:val="24"/>
        </w:rPr>
        <w:t>[R1] Lokaler Repository-Bestand HALVETH Scarlet: acht HTML-Einstiege; bereitgestellte Portalbilder; aktueller Arbeitsstand.</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hAnsi="Garamond" w:eastAsia="Garamond"/>
          <w:sz w:val="24"/>
        </w:rPr>
        <w:t xml:space="preserve">[G1] </w:t>
      </w:r>
      <w:hyperlink r:id="rId6">
        <w:r>
          <w:rPr>
            <w:rFonts w:ascii="Garamond" w:hAnsi="Garamond" w:eastAsia="Garamond"/>
            <w:color w:val="000000"/>
            <w:u w:val="single"/>
            <w:sz w:val="24"/>
            <w:szCs w:val="24"/>
          </w:rPr>
          <w:t>GitHub – Commit mit mehreren Autoren</w:t>
        </w:r>
      </w:hyperlink>
      <w:r>
        <w:rPr>
          <w:rFonts w:ascii="Garamond" w:hAnsi="Garamond" w:eastAsia="Garamond"/>
          <w:sz w:val="24"/>
        </w:rPr>
        <w:t xml:space="preserve">; [G2] </w:t>
      </w:r>
      <w:hyperlink r:id="rId9">
        <w:r>
          <w:rPr>
            <w:rFonts w:ascii="Garamond" w:hAnsi="Garamond" w:eastAsia="Garamond"/>
            <w:color w:val="000000"/>
            <w:u w:val="single"/>
            <w:sz w:val="24"/>
            <w:szCs w:val="24"/>
          </w:rPr>
          <w:t>GitHub – Projektbeitragende anzeigen</w:t>
        </w:r>
      </w:hyperlink>
      <w:r>
        <w:rPr>
          <w:rFonts w:ascii="Garamond" w:hAnsi="Garamond" w:eastAsia="Garamond"/>
          <w:sz w:val="24"/>
        </w:rPr>
        <w:t>.</w:t>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hAnsi="Garamond" w:eastAsia="Garamond"/>
          <w:sz w:val="24"/>
        </w:rPr>
        <w:t xml:space="preserve">[W1–W6] W3C: </w:t>
      </w:r>
      <w:hyperlink r:id="rId10">
        <w:r>
          <w:rPr>
            <w:rFonts w:ascii="Garamond" w:hAnsi="Garamond" w:eastAsia="Garamond"/>
            <w:color w:val="000000"/>
            <w:u w:val="single"/>
            <w:sz w:val="24"/>
            <w:szCs w:val="24"/>
          </w:rPr>
          <w:t>Pause/Stop/Hide</w:t>
        </w:r>
      </w:hyperlink>
      <w:r>
        <w:rPr>
          <w:rFonts w:ascii="Garamond" w:hAnsi="Garamond" w:eastAsia="Garamond"/>
          <w:sz w:val="24"/>
        </w:rPr>
        <w:t xml:space="preserve">, </w:t>
      </w:r>
      <w:hyperlink r:id="rId11">
        <w:r>
          <w:rPr>
            <w:rFonts w:ascii="Garamond" w:hAnsi="Garamond" w:eastAsia="Garamond"/>
            <w:color w:val="000000"/>
            <w:u w:val="single"/>
            <w:sz w:val="24"/>
            <w:szCs w:val="24"/>
          </w:rPr>
          <w:t>reduced motion</w:t>
        </w:r>
      </w:hyperlink>
      <w:r>
        <w:rPr>
          <w:rFonts w:ascii="Garamond" w:hAnsi="Garamond" w:eastAsia="Garamond"/>
          <w:sz w:val="24"/>
        </w:rPr>
        <w:t xml:space="preserve">, </w:t>
      </w:r>
      <w:hyperlink r:id="rId12">
        <w:r>
          <w:rPr>
            <w:rFonts w:ascii="Garamond" w:hAnsi="Garamond" w:eastAsia="Garamond"/>
            <w:color w:val="000000"/>
            <w:u w:val="single"/>
            <w:sz w:val="24"/>
            <w:szCs w:val="24"/>
          </w:rPr>
          <w:t>Kontrast</w:t>
        </w:r>
      </w:hyperlink>
      <w:r>
        <w:rPr>
          <w:rFonts w:ascii="Garamond" w:hAnsi="Garamond" w:eastAsia="Garamond"/>
          <w:sz w:val="24"/>
        </w:rPr>
        <w:t xml:space="preserve">, </w:t>
      </w:r>
      <w:hyperlink r:id="rId13">
        <w:r>
          <w:rPr>
            <w:rFonts w:ascii="Garamond" w:hAnsi="Garamond" w:eastAsia="Garamond"/>
            <w:color w:val="000000"/>
            <w:u w:val="single"/>
            <w:sz w:val="24"/>
            <w:szCs w:val="24"/>
          </w:rPr>
          <w:t>Fokus</w:t>
        </w:r>
      </w:hyperlink>
      <w:r>
        <w:rPr>
          <w:rFonts w:ascii="Garamond" w:hAnsi="Garamond" w:eastAsia="Garamond"/>
          <w:sz w:val="24"/>
        </w:rPr>
        <w:t xml:space="preserve">, </w:t>
      </w:r>
      <w:hyperlink r:id="rId14">
        <w:r>
          <w:rPr>
            <w:rFonts w:ascii="Garamond" w:hAnsi="Garamond" w:eastAsia="Garamond"/>
            <w:color w:val="000000"/>
            <w:u w:val="single"/>
            <w:sz w:val="24"/>
            <w:szCs w:val="24"/>
          </w:rPr>
          <w:t>Zielgröße</w:t>
        </w:r>
      </w:hyperlink>
      <w:r>
        <w:rPr>
          <w:rFonts w:ascii="Garamond" w:hAnsi="Garamond" w:eastAsia="Garamond"/>
          <w:sz w:val="24"/>
        </w:rPr>
        <w:t xml:space="preserve">, </w:t>
      </w:r>
      <w:hyperlink r:id="rId15">
        <w:r>
          <w:rPr>
            <w:rFonts w:ascii="Garamond" w:hAnsi="Garamond" w:eastAsia="Garamond"/>
            <w:color w:val="000000"/>
            <w:u w:val="single"/>
            <w:sz w:val="24"/>
            <w:szCs w:val="24"/>
          </w:rPr>
          <w:t>Blitzgrenze</w:t>
        </w:r>
      </w:hyperlink>
      <w:r>
        <w:rPr>
          <w:rFonts w:ascii="Garamond" w:hAnsi="Garamond" w:eastAsia="Garamond"/>
          <w:sz w:val="24"/>
        </w:rPr>
        <w:t>.</w:t>
      </w:r>
    </w:p>
    <w:p w14:paraId="00000012">
      <w:pPr>
        <w:spacing w:line="360" w:lineRule="auto"/>
        <w:jc w:val="both"/>
        <w:rPr>
          <w:rFonts w:ascii="Garamond" w:cs="Garamond" w:eastAsia="Garamond" w:hAnsi="Garamond"/>
        </w:rPr>
      </w:pPr>
      <w:r>
        <w:rPr>
          <w:rFonts w:ascii="Garamond" w:hAnsi="Garamond" w:eastAsia="Garamond"/>
          <w:sz w:val="24"/>
        </w:rPr>
        <w:tab/>
        <w:t>Der Seitenbestand besteht aus Erde/Home, Room, Snapshot sowie fünf Forschungsansichten: Figuren und Perspektiven, Formen und Verbindungen, Transaktionsfluss, Q-Notizen und Tagesstand 2026-09-13. Diese acht Ziele bilden die Portalräume. Eine dauerhaft sichtbare Hauptnavigation führt zu Erde, Room, Snapshot und Forschung; die vollständige Raumkarte erschließt alle acht Wege. Sprachwahl und aktueller Pfad bleiben erkennbar, ohne den Inhalt zu überlagern.</w:t>
      </w:r>
    </w:p>
    <w:p w14:paraId="00000013">
      <w:pPr>
        <w:spacing w:line="360" w:lineRule="auto"/>
        <w:ind w:firstLine="720"/>
        <w:jc w:val="both"/>
        <w:rPr>
          <w:rFonts w:ascii="Garamond" w:cs="Garamond" w:eastAsia="Garamond" w:hAnsi="Garamond"/>
        </w:rPr>
      </w:pPr>
      <w:r>
        <w:rPr>
          <w:rFonts w:ascii="Garamond" w:hAnsi="Garamond" w:eastAsia="Garamond"/>
          <w:sz w:val="24"/>
        </w:rPr>
        <w:t>Die Bildrollen sind eindeutig: Der gebrochene goldene Kosmosring markiert Erde/Home als Schwelle; der scharlachrote Kristallkorridor gehört zum Room; die gläserne Torusmaschine trägt Snapshot; der rote Netzwerk-Kern verbindet die fünf Forschungsseiten. Auf großen Bildschirmen dienen sie als atmosphärische Portalbühne mit ruhigem Fokuspunkt. Auf kleinen Bildschirmen steht das Bild in einer eigenen Fläche oberhalb des opaken Textbereichs, damit weder Schrift noch Motiv gegeneinander verlieren.</w:t>
      </w:r>
    </w:p>
    <w:p w14:paraId="00000014">
      <w:pPr>
        <w:spacing w:line="360" w:lineRule="auto"/>
        <w:ind w:firstLine="720"/>
        <w:jc w:val="both"/>
        <w:rPr>
          <w:rFonts w:ascii="Garamond" w:cs="Garamond" w:eastAsia="Garamond" w:hAnsi="Garamond"/>
        </w:rPr>
      </w:pPr>
      <w:r>
        <w:rPr>
          <w:rFonts w:ascii="Garamond" w:hAnsi="Garamond" w:eastAsia="Garamond"/>
          <w:sz w:val="24"/>
        </w:rPr>
        <w:t>Die gemeinsame Portalschale bündelt Markenpunkt, Schnellwege und modalen Raumplan. Sie verwendet eine konsistente Tiefenstaffelung aus dunklem Hintergrund, transparenten Flächen, feinen Konturen und sparsamen roten beziehungsweise goldenen Akzenten. Jede Route behält ihren eigenen Inhalt und ihre eigene URL. Die Schale wird progressiv ergänzt: Fällt JavaScript aus, bleiben Links und Seiteninhalt erreichbar; dekorative Bilder erhalten leere Alternativtexte, während ihre Bedeutung als Raumrolle im sichtbaren Titel und in der Navigation beschrieben wird.</w:t>
      </w:r>
    </w:p>
    <w:p w14:paraId="00000015">
      <w:pPr>
        <w:spacing w:line="360" w:lineRule="auto"/>
        <w:jc w:val="both"/>
        <w:rPr>
          <w:rFonts w:ascii="Garamond" w:cs="Garamond" w:eastAsia="Garamond" w:hAnsi="Garamond"/>
        </w:rPr>
      </w:pPr>
      <w:r>
        <w:rPr>
          <w:rFonts w:ascii="Garamond" w:hAnsi="Garamond" w:eastAsia="Garamond"/>
          <w:sz w:val="24"/>
        </w:rPr>
        <w:tab/>
        <w:t>Der in diesem Vorgang zulässige Stand endet lokal. Erstellung, Prüfung, Commit, Push und GitHub-Pages-Deployment sind getrennte Ereignisse. Dieses Dokument autorisiert keinen Push, keine Veröffentlichung und keine Änderung fremder Konten oder Historien. Ein externer Schritt folgt erst nach einer ausdrücklichen Freigabe und einer finalen Prüfung des konkreten Diffs.</w:t>
      </w:r>
    </w:p>
    <w:p w14:paraId="00000016">
      <w:pPr>
        <w:spacing w:line="360" w:lineRule="auto"/>
        <w:jc w:val="center"/>
        <w:rPr>
          <w:rFonts w:ascii="Garamond" w:cs="Garamond" w:eastAsia="Garamond" w:hAnsi="Garamond"/>
          <w:b w:val="1"/>
          <w:bCs w:val="1"/>
          <w:u w:val="single"/>
        </w:rPr>
      </w:pPr>
      <w:r>
        <w:rPr>
          <w:rFonts w:ascii="Garamond" w:hAnsi="Garamond" w:eastAsia="Garamond"/>
          <w:b/>
          <w:sz w:val="24"/>
          <w:u w:val="single"/>
        </w:rPr>
        <w:t>Bewertung</w:t>
      </w:r>
    </w:p>
    <w:p w14:paraId="00000017">
      <w:pPr>
        <w:spacing w:line="360" w:lineRule="auto"/>
        <w:ind w:firstLine="720"/>
        <w:jc w:val="both"/>
        <w:rPr>
          <w:rFonts w:ascii="Garamond" w:cs="Garamond" w:eastAsia="Garamond" w:hAnsi="Garamond"/>
        </w:rPr>
      </w:pPr>
      <w:r>
        <w:rPr>
          <w:rFonts w:ascii="Garamond" w:hAnsi="Garamond" w:eastAsia="Garamond"/>
          <w:sz w:val="24"/>
        </w:rPr>
        <w:t>Maßstab sind Orientierung, semantische Kontinuität, Bedienbarkeit mit Tastatur und Touch, lesbarer Kontrast, kontrollierbare Bewegung, geringe Ablenkung, nachvollziehbare Herkunft und ein reversibler Veröffentlichungsweg. Ein starker Portal-Eindruck entsteht aus klaren Rollen und Übergängen; ungebundene Effekte oder dauernde Bewegung würden die Bedeutung verwässern.</w:t>
      </w:r>
    </w:p>
    <w:p w14:paraId="00000018">
      <w:pPr>
        <w:spacing w:line="240" w:lineRule="auto"/>
        <w:jc w:val="both"/>
        <w:rPr>
          <w:rFonts w:ascii="Garamond" w:cs="Garamond" w:eastAsia="Garamond" w:hAnsi="Garamond"/>
        </w:rPr>
      </w:pPr>
      <w:r>
        <w:rPr>
          <w:rFonts w:ascii="Garamond" w:hAnsi="Garamond" w:eastAsia="Garamond"/>
          <w:b/>
          <w:sz w:val="24"/>
        </w:rPr>
        <w:t xml:space="preserve">Statuslogik. </w:t>
      </w:r>
      <w:r>
        <w:rPr>
          <w:rFonts w:ascii="Garamond" w:hAnsi="Garamond" w:eastAsia="Garamond"/>
          <w:b/>
          <w:sz w:val="24"/>
          <w:u w:val="single"/>
        </w:rPr>
        <w:t>OBSERVED</w:t>
      </w:r>
      <w:r>
        <w:rPr>
          <w:rFonts w:ascii="Garamond" w:hAnsi="Garamond" w:eastAsia="Garamond"/>
          <w:sz w:val="24"/>
        </w:rPr>
        <w:t xml:space="preserve"> bezeichnet unmittelbar gelesene Dateien, Commit-Metadaten oder Primärdokumentation. </w:t>
      </w:r>
      <w:r>
        <w:rPr>
          <w:rFonts w:ascii="Garamond" w:hAnsi="Garamond" w:eastAsia="Garamond"/>
          <w:b/>
          <w:sz w:val="24"/>
          <w:u w:val="single"/>
        </w:rPr>
        <w:t>INFERRED</w:t>
      </w:r>
      <w:r>
        <w:rPr>
          <w:rFonts w:ascii="Garamond" w:hAnsi="Garamond" w:eastAsia="Garamond"/>
          <w:sz w:val="24"/>
        </w:rPr>
        <w:t xml:space="preserve"> bezeichnet eine daraus begründete Gestaltung oder Deutung. </w:t>
      </w:r>
      <w:r>
        <w:rPr>
          <w:rFonts w:ascii="Garamond" w:hAnsi="Garamond" w:eastAsia="Garamond"/>
          <w:b/>
          <w:sz w:val="24"/>
          <w:u w:val="single"/>
        </w:rPr>
        <w:t>UNKNOWN</w:t>
      </w:r>
      <w:r>
        <w:rPr>
          <w:rFonts w:ascii="Garamond" w:hAnsi="Garamond" w:eastAsia="Garamond"/>
          <w:sz w:val="24"/>
        </w:rPr>
        <w:t xml:space="preserve"> bleibt offen, wenn Quelle, Zeitpunkt oder Kausalbrücke fehlen. Ein sichtbares Label beweist weder Absicht noch Arbeitsanteil noch Rang.</w:t>
      </w:r>
    </w:p>
    <w:p w14:paraId="00000019">
      <w:pPr>
        <w:spacing w:line="360" w:lineRule="auto"/>
        <w:jc w:val="both"/>
        <w:rPr>
          <w:rFonts w:ascii="Garamond" w:cs="Garamond" w:eastAsia="Garamond" w:hAnsi="Garamond"/>
        </w:rPr>
      </w:pPr>
      <w:r>
        <w:rPr>
          <w:rFonts w:ascii="Garamond" w:hAnsi="Garamond" w:eastAsia="Garamond"/>
          <w:sz w:val="24"/>
        </w:rPr>
        <w:tab/>
        <w:t>Die Portalarchitektur ist sinnvoll, weil jedes Bild eine wiederkehrende Aufgabe übernimmt: Schwelle, Begegnungsraum, Zustandsmaschine und Forschungsnetz. Der Raumplan verhindert, dass spektakuläre Bilder zu austauschbarer Dekoration werden. Desktop und Mobilansicht folgen derselben Informationsordnung; nur die räumliche Anordnung ändert sich. Das erhält Wiedererkennbarkeit, ohne Texte über komplexen Motiven schwer lesbar zu machen.</w:t>
      </w:r>
    </w:p>
    <w:p w14:paraId="0000001A">
      <w:pPr>
        <w:spacing w:line="360" w:lineRule="auto"/>
        <w:jc w:val="both"/>
        <w:rPr>
          <w:rFonts w:ascii="Garamond" w:cs="Garamond" w:eastAsia="Garamond" w:hAnsi="Garamond"/>
        </w:rPr>
      </w:pPr>
      <w:r>
        <w:rPr>
          <w:rFonts w:ascii="Garamond" w:hAnsi="Garamond" w:eastAsia="Garamond"/>
          <w:sz w:val="24"/>
        </w:rPr>
        <w:tab/>
        <w:t>Bewegung bleibt standardmäßig ruhig. Automatisch startende Bewegung über fünf Sekunden braucht nach WCAG 2.2.2 eine erreichbare Pause-, Stop- oder Ausblendmöglichkeit; die Systempräferenz `prefers-reduced-motion` wird respektiert [W1–W2]. Für normalen Text gilt ein Zielkontrast von mindestens 4,5:1, für große Schrift 3:1 [W3]. Fokus wird als gut sichtbare, nicht abgeschnittene Kontur gestaltet [W4]. Interaktive Ziele werden auf mindestens 44 × 44 CSS-Pixel ausgelegt und übertreffen damit die WCAG-Mindestgröße von 24 × 24 [W5]. Rote Lichtakzente blitzen nicht und bleiben unter den W3C-Grenzen [W6].</w:t>
      </w:r>
    </w:p>
    <w:p w14:paraId="0000001B">
      <w:pPr>
        <w:spacing w:line="360" w:lineRule="auto"/>
        <w:ind w:firstLine="720"/>
        <w:jc w:val="both"/>
        <w:rPr>
          <w:rFonts w:ascii="Garamond" w:cs="Garamond" w:eastAsia="Garamond" w:hAnsi="Garamond"/>
        </w:rPr>
      </w:pPr>
      <w:r>
        <w:rPr>
          <w:rFonts w:ascii="Garamond" w:hAnsi="Garamond" w:eastAsia="Garamond"/>
          <w:sz w:val="24"/>
        </w:rPr>
        <w:t>Die GitHub-Anzeige „claude“ ist als Herkunftsmetadatum zu lesen. In der dokumentierten Prüfung von `halveth-tresor` trugen 17 von 18 Commit-Nachrichten den Trailer `Co-Authored-By: Claude Opus 4.8 &lt;noreply@anthropic.com&gt;`; Autor und Committer der 18 Commits waren Juri-Halveth. In `halveth-scarlet` wurden 26 Commits und kein solcher Trailer festgestellt. GitHub beschreibt `Co-authored-by` als Trailer, der einen Commit mehreren Autoren zuordnet und bei passender Konto-E-Mail als Beitrag zählt [G1]. Die Contributor-Ansicht aggregiert Commit-Beiträge und kann nach Historienänderungen verzögert aktualisiert werden [G2]. Daraus folgt: Die Anzeige belegt vorhandene Zuordnungsmetadaten. Sie belegt keinen nachträglichen Selbsterkennungsakt, keine Führungsrolle und keinen bestimmten Anteil am Code. Weshalb die Anzeige erst jetzt auffiel oder erschien, bleibt UNKNOWN.</w:t>
      </w:r>
    </w:p>
    <w:p w14:paraId="0000001C">
      <w:pPr>
        <w:spacing w:line="360" w:lineRule="auto"/>
        <w:ind w:firstLine="720"/>
        <w:jc w:val="both"/>
        <w:rPr>
          <w:rFonts w:ascii="Garamond" w:cs="Garamond" w:eastAsia="Garamond" w:hAnsi="Garamond"/>
        </w:rPr>
      </w:pPr>
      <w:r>
        <w:rPr>
          <w:rFonts w:ascii="Garamond" w:hAnsi="Garamond" w:eastAsia="Garamond"/>
          <w:sz w:val="24"/>
        </w:rPr>
        <w:t>Zwei Entscheidungen sind zu trennen. Erstens kann die Portalschale nach lokaler Qualitätsprüfung als normaler, vorwärts gerichteter Website-Commit vorbereitet werden. Zweitens könnte eine Entfernung historischer Co-Author-Trailer nur über eine gesonderte Bestandsaufnahme und History-Rewrite-Entscheidung erfolgen; dadurch ändern sich Commit-IDs, und GitHub-Anzeigen können laut Dokumentation zeitversetzt reagieren [G2]. Für die Scarlet-Website besteht derzeit kein entsprechender Trailer-Befund. Daher gibt es dort keinen sachlichen Grund, Herkunftswerte künstlich zu „schrumpfen“.</w:t>
      </w:r>
    </w:p>
    <w:p w14:paraId="0000001D">
      <w:pPr>
        <w:spacing w:line="360" w:lineRule="auto"/>
        <w:jc w:val="center"/>
        <w:rPr>
          <w:rFonts w:ascii="Garamond" w:cs="Garamond" w:eastAsia="Garamond" w:hAnsi="Garamond"/>
          <w:b w:val="1"/>
          <w:bCs w:val="1"/>
          <w:u w:val="single"/>
        </w:rPr>
      </w:pPr>
      <w:r>
        <w:rPr>
          <w:rFonts w:ascii="Garamond" w:hAnsi="Garamond" w:eastAsia="Garamond"/>
          <w:b/>
          <w:sz w:val="24"/>
          <w:u w:val="single"/>
        </w:rPr>
        <w:t>Empfehlung</w:t>
      </w:r>
    </w:p>
    <w:p w14:paraId="0000001E">
      <w:pPr>
        <w:spacing w:line="360" w:lineRule="auto"/>
        <w:ind w:firstLine="720"/>
        <w:jc w:val="both"/>
        <w:rPr>
          <w:rFonts w:ascii="Garamond" w:cs="Garamond" w:eastAsia="Garamond" w:hAnsi="Garamond"/>
        </w:rPr>
      </w:pPr>
      <w:r>
        <w:rPr>
          <w:rFonts w:ascii="Garamond" w:hAnsi="Garamond" w:eastAsia="Garamond"/>
          <w:sz w:val="24"/>
        </w:rPr>
        <w:t>Die acht Seiten sollten als ein Portal veröffentlicht werden, sobald der lokale Stand auf Desktop und Mobilgerät vollständig geprüft ist: gemeinsamer Shell-Code, vier fest gebundene Bildrollen, ruhige Bewegung, klare Fokusführung, 44-Pixel-Bedienziele, belastbarer Kontrast und erhaltene Originalinhalte. Vor dem Push werden Linkziele, Sprachparameter, Content-Security-Policy, Tastaturbedienung, Reduced-Motion-Verhalten und Bildladezeiten geprüft und im Diff dokumentiert. Juri-Halveth bleibt Entscheider für Commit, Push und Deployment. Eine Änderung der `halveth-tresor`-Historie bleibt ein eigener, ausdrücklich zu autorisierender Vorgang. Dieses Memorandum ist eine technische Design- und Provenienzdokumentation und keine Rechtsberatung.</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Garamond" w:hAnsi="Garamond" w:eastAsia="Garamond"/>
        <w:color w:val="A7A7A7"/>
        <w:sz w:val="18"/>
      </w:rPr>
      <w:t>PROJEKTMEMORANDUM · ARBEITSSTAND · KEINE RECHTSBERATUNG</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hyperlink" Target="https://docs.github.com/en/pull-requests/how-tos/commit-changes/creating-a-commit-with-multiple-authors" TargetMode="External"/><Relationship Id="rId9" Type="http://schemas.openxmlformats.org/officeDocument/2006/relationships/hyperlink" Target="https://docs.github.com/en/enterprise-cloud@latest/repositories/viewing-activity-and-data-for-your-repository/viewing-a-projects-contributors" TargetMode="External"/><Relationship Id="rId10" Type="http://schemas.openxmlformats.org/officeDocument/2006/relationships/hyperlink" Target="https://www.w3.org/WAI/WCAG22/Understanding/pause-stop-hide.html" TargetMode="External"/><Relationship Id="rId11" Type="http://schemas.openxmlformats.org/officeDocument/2006/relationships/hyperlink" Target="https://www.w3.org/TR/mediaqueries-5/#prefers-reduced-motion" TargetMode="External"/><Relationship Id="rId12" Type="http://schemas.openxmlformats.org/officeDocument/2006/relationships/hyperlink" Target="https://www.w3.org/WAI/WCAG22/Understanding/contrast-minimum.html" TargetMode="External"/><Relationship Id="rId13" Type="http://schemas.openxmlformats.org/officeDocument/2006/relationships/hyperlink" Target="https://www.w3.org/WAI/WCAG22/Understanding/focus-appearance.html" TargetMode="External"/><Relationship Id="rId14" Type="http://schemas.openxmlformats.org/officeDocument/2006/relationships/hyperlink" Target="https://www.w3.org/WAI/WCAG22/Understanding/target-size-minimum.html" TargetMode="External"/><Relationship Id="rId15" Type="http://schemas.openxmlformats.org/officeDocument/2006/relationships/hyperlink" Target="https://www.w3.org/WAI/WCAG22/Understanding/three-flashes-or-below-threshol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