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E24DF" w14:textId="0AC2B6D4" w:rsidR="006C2607" w:rsidRPr="0024534E" w:rsidRDefault="00F63D29" w:rsidP="00F63D29">
      <w:pPr>
        <w:spacing w:after="0" w:line="240" w:lineRule="auto"/>
        <w:rPr>
          <w:rFonts w:ascii="Times New Roman" w:hAnsi="Times New Roman" w:cs="Times New Roman"/>
          <w:b/>
          <w:bCs/>
          <w:u w:val="single"/>
          <w:lang w:val="en-US"/>
        </w:rPr>
      </w:pPr>
      <w:r w:rsidRPr="0024534E">
        <w:rPr>
          <w:rFonts w:ascii="Times New Roman" w:hAnsi="Times New Roman" w:cs="Times New Roman"/>
          <w:b/>
          <w:bCs/>
          <w:u w:val="single"/>
          <w:lang w:val="en-US"/>
        </w:rPr>
        <w:t>Article 5 (1</w:t>
      </w:r>
      <w:r w:rsidR="0024534E" w:rsidRPr="0024534E">
        <w:rPr>
          <w:rFonts w:ascii="Times New Roman" w:hAnsi="Times New Roman" w:cs="Times New Roman"/>
          <w:b/>
          <w:bCs/>
          <w:u w:val="single"/>
          <w:lang w:val="en-US"/>
        </w:rPr>
        <w:t>c</w:t>
      </w:r>
      <w:r w:rsidRPr="0024534E">
        <w:rPr>
          <w:rFonts w:ascii="Times New Roman" w:hAnsi="Times New Roman" w:cs="Times New Roman"/>
          <w:b/>
          <w:bCs/>
          <w:u w:val="single"/>
          <w:lang w:val="en-US"/>
        </w:rPr>
        <w:t>)</w:t>
      </w:r>
    </w:p>
    <w:p w14:paraId="1C2F852C" w14:textId="77777777" w:rsidR="00F63D29" w:rsidRPr="0024534E" w:rsidRDefault="00F63D29" w:rsidP="00F63D29">
      <w:pPr>
        <w:spacing w:after="0" w:line="240" w:lineRule="auto"/>
        <w:rPr>
          <w:rFonts w:ascii="Times New Roman" w:hAnsi="Times New Roman" w:cs="Times New Roman"/>
          <w:b/>
          <w:bCs/>
          <w:u w:val="single"/>
          <w:lang w:val="en-US"/>
        </w:rPr>
      </w:pPr>
    </w:p>
    <w:p w14:paraId="3C1A73AC" w14:textId="2698F70A"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hyperlink r:id="rId5" w:history="1">
        <w:r w:rsidRPr="0024534E">
          <w:rPr>
            <w:rStyle w:val="Hyperlink"/>
            <w:rFonts w:ascii="Times New Roman" w:eastAsia="Times New Roman" w:hAnsi="Times New Roman" w:cs="Times New Roman"/>
            <w:b/>
            <w:bCs/>
            <w:kern w:val="0"/>
            <w14:ligatures w14:val="none"/>
          </w:rPr>
          <w:t>https://chatgpt.com/share/690bcabf-395c-8008-ab7c-0bd2c71ed673</w:t>
        </w:r>
      </w:hyperlink>
    </w:p>
    <w:p w14:paraId="5D24E450" w14:textId="77777777"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BDE3FB1" w14:textId="71F0C09E"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Step 1 — Identify Relevant Recitals</w:t>
      </w:r>
    </w:p>
    <w:p w14:paraId="083E2459"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w:t>
      </w:r>
      <w:r w:rsidRPr="0024534E">
        <w:rPr>
          <w:rFonts w:ascii="Times New Roman" w:eastAsia="Times New Roman" w:hAnsi="Times New Roman" w:cs="Times New Roman"/>
          <w:b/>
          <w:bCs/>
          <w:kern w:val="0"/>
          <w14:ligatures w14:val="none"/>
        </w:rPr>
        <w:t>data minimisation principle</w:t>
      </w:r>
      <w:r w:rsidRPr="0024534E">
        <w:rPr>
          <w:rFonts w:ascii="Times New Roman" w:eastAsia="Times New Roman" w:hAnsi="Times New Roman" w:cs="Times New Roman"/>
          <w:kern w:val="0"/>
          <w14:ligatures w14:val="none"/>
        </w:rPr>
        <w:t xml:space="preserve"> is elaborated or connected to the following </w:t>
      </w:r>
      <w:r w:rsidRPr="0024534E">
        <w:rPr>
          <w:rFonts w:ascii="Times New Roman" w:eastAsia="Times New Roman" w:hAnsi="Times New Roman" w:cs="Times New Roman"/>
          <w:b/>
          <w:bCs/>
          <w:kern w:val="0"/>
          <w14:ligatures w14:val="none"/>
        </w:rPr>
        <w:t>Recitals</w:t>
      </w:r>
      <w:r w:rsidRPr="0024534E">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6622"/>
        <w:gridCol w:w="2918"/>
      </w:tblGrid>
      <w:tr w:rsidR="0024534E" w:rsidRPr="0024534E" w14:paraId="1A72D66F" w14:textId="77777777" w:rsidTr="0024534E">
        <w:trPr>
          <w:tblHeader/>
          <w:tblCellSpacing w:w="15" w:type="dxa"/>
        </w:trPr>
        <w:tc>
          <w:tcPr>
            <w:tcW w:w="1215" w:type="dxa"/>
            <w:vAlign w:val="center"/>
            <w:hideMark/>
          </w:tcPr>
          <w:p w14:paraId="530522E7" w14:textId="77777777" w:rsidR="0024534E" w:rsidRPr="0024534E" w:rsidRDefault="0024534E" w:rsidP="0024534E">
            <w:pPr>
              <w:spacing w:after="0" w:line="240" w:lineRule="auto"/>
              <w:jc w:val="center"/>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Recital</w:t>
            </w:r>
          </w:p>
        </w:tc>
        <w:tc>
          <w:tcPr>
            <w:tcW w:w="6592" w:type="dxa"/>
            <w:vAlign w:val="center"/>
            <w:hideMark/>
          </w:tcPr>
          <w:p w14:paraId="0718D715" w14:textId="77777777" w:rsidR="0024534E" w:rsidRPr="0024534E" w:rsidRDefault="0024534E" w:rsidP="0024534E">
            <w:pPr>
              <w:spacing w:after="0" w:line="240" w:lineRule="auto"/>
              <w:jc w:val="center"/>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Text Summary</w:t>
            </w:r>
          </w:p>
        </w:tc>
        <w:tc>
          <w:tcPr>
            <w:tcW w:w="0" w:type="auto"/>
            <w:vAlign w:val="center"/>
            <w:hideMark/>
          </w:tcPr>
          <w:p w14:paraId="5EFFE7F7" w14:textId="77777777" w:rsidR="0024534E" w:rsidRPr="0024534E" w:rsidRDefault="0024534E" w:rsidP="0024534E">
            <w:pPr>
              <w:spacing w:after="0" w:line="240" w:lineRule="auto"/>
              <w:jc w:val="center"/>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Connection</w:t>
            </w:r>
          </w:p>
        </w:tc>
      </w:tr>
      <w:tr w:rsidR="0024534E" w:rsidRPr="0024534E" w14:paraId="3C386F28" w14:textId="77777777" w:rsidTr="0024534E">
        <w:trPr>
          <w:tblCellSpacing w:w="15" w:type="dxa"/>
        </w:trPr>
        <w:tc>
          <w:tcPr>
            <w:tcW w:w="1215" w:type="dxa"/>
            <w:vAlign w:val="center"/>
            <w:hideMark/>
          </w:tcPr>
          <w:p w14:paraId="429922C9"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Recital 39</w:t>
            </w:r>
          </w:p>
        </w:tc>
        <w:tc>
          <w:tcPr>
            <w:tcW w:w="6592" w:type="dxa"/>
            <w:vAlign w:val="center"/>
            <w:hideMark/>
          </w:tcPr>
          <w:p w14:paraId="07D85748"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Personal data should be adequate, relevant, and limited to what is necessary for the purposes of processing. Personal data should only be processed if the purpose cannot reasonably be fulfilled by other means.</w:t>
            </w:r>
          </w:p>
        </w:tc>
        <w:tc>
          <w:tcPr>
            <w:tcW w:w="0" w:type="auto"/>
            <w:vAlign w:val="center"/>
            <w:hideMark/>
          </w:tcPr>
          <w:p w14:paraId="11992BF7"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This directly explains the meaning and rationale of Article 5(1)(c).</w:t>
            </w:r>
          </w:p>
        </w:tc>
      </w:tr>
      <w:tr w:rsidR="0024534E" w:rsidRPr="0024534E" w14:paraId="6D5A28D8" w14:textId="77777777" w:rsidTr="0024534E">
        <w:trPr>
          <w:tblCellSpacing w:w="15" w:type="dxa"/>
        </w:trPr>
        <w:tc>
          <w:tcPr>
            <w:tcW w:w="1215" w:type="dxa"/>
            <w:vAlign w:val="center"/>
            <w:hideMark/>
          </w:tcPr>
          <w:p w14:paraId="5C0D35DC"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Recital 42</w:t>
            </w:r>
          </w:p>
        </w:tc>
        <w:tc>
          <w:tcPr>
            <w:tcW w:w="6592" w:type="dxa"/>
            <w:vAlign w:val="center"/>
            <w:hideMark/>
          </w:tcPr>
          <w:p w14:paraId="01D81B1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Controller should be able to demonstrate compliance with data minimisation and other principles (accountability link).</w:t>
            </w:r>
          </w:p>
        </w:tc>
        <w:tc>
          <w:tcPr>
            <w:tcW w:w="0" w:type="auto"/>
            <w:vAlign w:val="center"/>
            <w:hideMark/>
          </w:tcPr>
          <w:p w14:paraId="5A93A628"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Connects data minimisation to the accountability obligation.</w:t>
            </w:r>
          </w:p>
        </w:tc>
      </w:tr>
      <w:tr w:rsidR="0024534E" w:rsidRPr="0024534E" w14:paraId="5EFDCCAE" w14:textId="77777777" w:rsidTr="0024534E">
        <w:trPr>
          <w:tblCellSpacing w:w="15" w:type="dxa"/>
        </w:trPr>
        <w:tc>
          <w:tcPr>
            <w:tcW w:w="1215" w:type="dxa"/>
            <w:vAlign w:val="center"/>
            <w:hideMark/>
          </w:tcPr>
          <w:p w14:paraId="36DDCEEB"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Recital 78</w:t>
            </w:r>
          </w:p>
        </w:tc>
        <w:tc>
          <w:tcPr>
            <w:tcW w:w="6592" w:type="dxa"/>
            <w:vAlign w:val="center"/>
            <w:hideMark/>
          </w:tcPr>
          <w:p w14:paraId="7657EF26"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Data protection by design and by default should ensure that only necessary data are processed — supporting Article 5(1)(c).</w:t>
            </w:r>
          </w:p>
        </w:tc>
        <w:tc>
          <w:tcPr>
            <w:tcW w:w="0" w:type="auto"/>
            <w:vAlign w:val="center"/>
            <w:hideMark/>
          </w:tcPr>
          <w:p w14:paraId="267E869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Reinforces minimisation through design principles.</w:t>
            </w:r>
          </w:p>
        </w:tc>
      </w:tr>
      <w:tr w:rsidR="0024534E" w:rsidRPr="0024534E" w14:paraId="43EA0CE4" w14:textId="77777777" w:rsidTr="0024534E">
        <w:trPr>
          <w:tblCellSpacing w:w="15" w:type="dxa"/>
        </w:trPr>
        <w:tc>
          <w:tcPr>
            <w:tcW w:w="1215" w:type="dxa"/>
            <w:vAlign w:val="center"/>
            <w:hideMark/>
          </w:tcPr>
          <w:p w14:paraId="49A22526"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Recital 156</w:t>
            </w:r>
          </w:p>
        </w:tc>
        <w:tc>
          <w:tcPr>
            <w:tcW w:w="6592" w:type="dxa"/>
            <w:vAlign w:val="center"/>
            <w:hideMark/>
          </w:tcPr>
          <w:p w14:paraId="6C77F8E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In the context of research and archiving, derogations may be applied provided appropriate safeguards (data minimisation among them) exist.</w:t>
            </w:r>
          </w:p>
        </w:tc>
        <w:tc>
          <w:tcPr>
            <w:tcW w:w="0" w:type="auto"/>
            <w:vAlign w:val="center"/>
            <w:hideMark/>
          </w:tcPr>
          <w:p w14:paraId="51945E14"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Explains limited exceptions.</w:t>
            </w:r>
          </w:p>
        </w:tc>
      </w:tr>
    </w:tbl>
    <w:p w14:paraId="04FD68B0" w14:textId="77777777" w:rsidR="0024534E" w:rsidRPr="0024534E" w:rsidRDefault="00C56F9F" w:rsidP="0024534E">
      <w:pPr>
        <w:spacing w:after="0" w:line="240" w:lineRule="auto"/>
        <w:rPr>
          <w:rFonts w:ascii="Times New Roman" w:eastAsia="Times New Roman" w:hAnsi="Times New Roman" w:cs="Times New Roman"/>
          <w:kern w:val="0"/>
          <w14:ligatures w14:val="none"/>
        </w:rPr>
      </w:pPr>
      <w:r w:rsidRPr="00C56F9F">
        <w:rPr>
          <w:rFonts w:ascii="Times New Roman" w:eastAsia="Times New Roman" w:hAnsi="Times New Roman" w:cs="Times New Roman"/>
          <w:noProof/>
          <w:kern w:val="0"/>
        </w:rPr>
        <w:pict w14:anchorId="38C928CD">
          <v:rect id="_x0000_i1027" alt="" style="width:468pt;height:.05pt;mso-width-percent:0;mso-height-percent:0;mso-width-percent:0;mso-height-percent:0" o:hralign="center" o:hrstd="t" o:hr="t" fillcolor="#a0a0a0" stroked="f"/>
        </w:pict>
      </w:r>
    </w:p>
    <w:p w14:paraId="08A5E3F5" w14:textId="77777777"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Step 2 — Identify Related GDPR Articles</w:t>
      </w:r>
    </w:p>
    <w:p w14:paraId="5F26F46F"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following </w:t>
      </w:r>
      <w:r w:rsidRPr="0024534E">
        <w:rPr>
          <w:rFonts w:ascii="Times New Roman" w:eastAsia="Times New Roman" w:hAnsi="Times New Roman" w:cs="Times New Roman"/>
          <w:b/>
          <w:bCs/>
          <w:kern w:val="0"/>
          <w14:ligatures w14:val="none"/>
        </w:rPr>
        <w:t>Articles</w:t>
      </w:r>
      <w:r w:rsidRPr="0024534E">
        <w:rPr>
          <w:rFonts w:ascii="Times New Roman" w:eastAsia="Times New Roman" w:hAnsi="Times New Roman" w:cs="Times New Roman"/>
          <w:kern w:val="0"/>
          <w14:ligatures w14:val="none"/>
        </w:rPr>
        <w:t xml:space="preserve"> are closely connected: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0"/>
        <w:gridCol w:w="9270"/>
      </w:tblGrid>
      <w:tr w:rsidR="0024534E" w:rsidRPr="0024534E" w14:paraId="70E3FE4D" w14:textId="77777777" w:rsidTr="0024534E">
        <w:trPr>
          <w:tblHeader/>
          <w:tblCellSpacing w:w="15" w:type="dxa"/>
        </w:trPr>
        <w:tc>
          <w:tcPr>
            <w:tcW w:w="1485" w:type="dxa"/>
            <w:vAlign w:val="center"/>
            <w:hideMark/>
          </w:tcPr>
          <w:p w14:paraId="747C3CA2" w14:textId="77777777" w:rsidR="0024534E" w:rsidRPr="0024534E" w:rsidRDefault="0024534E" w:rsidP="0024534E">
            <w:pPr>
              <w:spacing w:after="0" w:line="240" w:lineRule="auto"/>
              <w:jc w:val="center"/>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Article</w:t>
            </w:r>
          </w:p>
        </w:tc>
        <w:tc>
          <w:tcPr>
            <w:tcW w:w="9225" w:type="dxa"/>
            <w:vAlign w:val="center"/>
            <w:hideMark/>
          </w:tcPr>
          <w:p w14:paraId="5D2F0BC9" w14:textId="77777777" w:rsidR="0024534E" w:rsidRPr="0024534E" w:rsidRDefault="0024534E" w:rsidP="0024534E">
            <w:pPr>
              <w:spacing w:after="0" w:line="240" w:lineRule="auto"/>
              <w:jc w:val="center"/>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Connection</w:t>
            </w:r>
          </w:p>
        </w:tc>
      </w:tr>
      <w:tr w:rsidR="0024534E" w:rsidRPr="0024534E" w14:paraId="5A3BE469" w14:textId="77777777" w:rsidTr="0024534E">
        <w:trPr>
          <w:tblCellSpacing w:w="15" w:type="dxa"/>
        </w:trPr>
        <w:tc>
          <w:tcPr>
            <w:tcW w:w="1485" w:type="dxa"/>
            <w:vAlign w:val="center"/>
            <w:hideMark/>
          </w:tcPr>
          <w:p w14:paraId="759FB978"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Article 5(1)(c)</w:t>
            </w:r>
          </w:p>
        </w:tc>
        <w:tc>
          <w:tcPr>
            <w:tcW w:w="9225" w:type="dxa"/>
            <w:vAlign w:val="center"/>
            <w:hideMark/>
          </w:tcPr>
          <w:p w14:paraId="0B9B273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The main provision establishing the data minimisation principle.</w:t>
            </w:r>
          </w:p>
        </w:tc>
      </w:tr>
      <w:tr w:rsidR="0024534E" w:rsidRPr="0024534E" w14:paraId="5D09DA37" w14:textId="77777777" w:rsidTr="0024534E">
        <w:trPr>
          <w:tblCellSpacing w:w="15" w:type="dxa"/>
        </w:trPr>
        <w:tc>
          <w:tcPr>
            <w:tcW w:w="1485" w:type="dxa"/>
            <w:vAlign w:val="center"/>
            <w:hideMark/>
          </w:tcPr>
          <w:p w14:paraId="46B666E9"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Article 5(2)</w:t>
            </w:r>
          </w:p>
        </w:tc>
        <w:tc>
          <w:tcPr>
            <w:tcW w:w="9225" w:type="dxa"/>
            <w:vAlign w:val="center"/>
            <w:hideMark/>
          </w:tcPr>
          <w:p w14:paraId="5E96DF8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Accountability: controller must demonstrate compliance with Article 5(1)(c).</w:t>
            </w:r>
          </w:p>
        </w:tc>
      </w:tr>
      <w:tr w:rsidR="0024534E" w:rsidRPr="0024534E" w14:paraId="36F86C23" w14:textId="77777777" w:rsidTr="0024534E">
        <w:trPr>
          <w:tblCellSpacing w:w="15" w:type="dxa"/>
        </w:trPr>
        <w:tc>
          <w:tcPr>
            <w:tcW w:w="1485" w:type="dxa"/>
            <w:vAlign w:val="center"/>
            <w:hideMark/>
          </w:tcPr>
          <w:p w14:paraId="5E05553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Article 25</w:t>
            </w:r>
          </w:p>
        </w:tc>
        <w:tc>
          <w:tcPr>
            <w:tcW w:w="9225" w:type="dxa"/>
            <w:vAlign w:val="center"/>
            <w:hideMark/>
          </w:tcPr>
          <w:p w14:paraId="0DA2BB4F"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Data protection by design and by default must ensure only necessary data are processed.</w:t>
            </w:r>
          </w:p>
        </w:tc>
      </w:tr>
      <w:tr w:rsidR="0024534E" w:rsidRPr="0024534E" w14:paraId="45EB3E46" w14:textId="77777777" w:rsidTr="0024534E">
        <w:trPr>
          <w:tblCellSpacing w:w="15" w:type="dxa"/>
        </w:trPr>
        <w:tc>
          <w:tcPr>
            <w:tcW w:w="1485" w:type="dxa"/>
            <w:vAlign w:val="center"/>
            <w:hideMark/>
          </w:tcPr>
          <w:p w14:paraId="73595B85"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Article 89(1)</w:t>
            </w:r>
          </w:p>
        </w:tc>
        <w:tc>
          <w:tcPr>
            <w:tcW w:w="9225" w:type="dxa"/>
            <w:vAlign w:val="center"/>
            <w:hideMark/>
          </w:tcPr>
          <w:p w14:paraId="4618F13B"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For scientific or historical research, data minimisation is a safeguard principle.</w:t>
            </w:r>
          </w:p>
        </w:tc>
      </w:tr>
      <w:tr w:rsidR="0024534E" w:rsidRPr="0024534E" w14:paraId="181E230C" w14:textId="77777777" w:rsidTr="0024534E">
        <w:trPr>
          <w:tblCellSpacing w:w="15" w:type="dxa"/>
        </w:trPr>
        <w:tc>
          <w:tcPr>
            <w:tcW w:w="1485" w:type="dxa"/>
            <w:vAlign w:val="center"/>
            <w:hideMark/>
          </w:tcPr>
          <w:p w14:paraId="6CC0D519"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Article 24</w:t>
            </w:r>
          </w:p>
        </w:tc>
        <w:tc>
          <w:tcPr>
            <w:tcW w:w="9225" w:type="dxa"/>
            <w:vAlign w:val="center"/>
            <w:hideMark/>
          </w:tcPr>
          <w:p w14:paraId="3CBC1FD6" w14:textId="77777777" w:rsidR="0024534E" w:rsidRPr="0024534E" w:rsidRDefault="0024534E" w:rsidP="0024534E">
            <w:pPr>
              <w:spacing w:after="0"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Controller’s responsibility to implement measures ensuring compliance with all principles, including data minimisation.</w:t>
            </w:r>
          </w:p>
        </w:tc>
      </w:tr>
    </w:tbl>
    <w:p w14:paraId="57332FB7" w14:textId="77777777" w:rsidR="0024534E" w:rsidRPr="0024534E" w:rsidRDefault="00C56F9F" w:rsidP="0024534E">
      <w:pPr>
        <w:spacing w:after="0" w:line="240" w:lineRule="auto"/>
        <w:rPr>
          <w:rFonts w:ascii="Times New Roman" w:eastAsia="Times New Roman" w:hAnsi="Times New Roman" w:cs="Times New Roman"/>
          <w:kern w:val="0"/>
          <w14:ligatures w14:val="none"/>
        </w:rPr>
      </w:pPr>
      <w:r w:rsidRPr="00C56F9F">
        <w:rPr>
          <w:rFonts w:ascii="Times New Roman" w:eastAsia="Times New Roman" w:hAnsi="Times New Roman" w:cs="Times New Roman"/>
          <w:noProof/>
          <w:kern w:val="0"/>
        </w:rPr>
        <w:pict w14:anchorId="5A054D62">
          <v:rect id="_x0000_i1026" alt="" style="width:468pt;height:.05pt;mso-width-percent:0;mso-height-percent:0;mso-width-percent:0;mso-height-percent:0" o:hralign="center" o:hrstd="t" o:hr="t" fillcolor="#a0a0a0" stroked="f"/>
        </w:pict>
      </w:r>
    </w:p>
    <w:p w14:paraId="509B57CC" w14:textId="77777777" w:rsid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4D53723A" w14:textId="77777777" w:rsid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03642960" w14:textId="77777777" w:rsid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294A1DF5" w14:textId="77777777" w:rsid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1D7E8143" w14:textId="77777777" w:rsid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1BA6DB3" w14:textId="1B6C1C18"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lastRenderedPageBreak/>
        <w:t>Step 3 — Construct the Detailed Legal Rule</w:t>
      </w:r>
    </w:p>
    <w:p w14:paraId="480F4D49"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Detailed Legal Rule (Integrated):</w:t>
      </w:r>
    </w:p>
    <w:p w14:paraId="0E14BA85"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According to </w:t>
      </w:r>
      <w:r w:rsidRPr="0024534E">
        <w:rPr>
          <w:rFonts w:ascii="Times New Roman" w:eastAsia="Times New Roman" w:hAnsi="Times New Roman" w:cs="Times New Roman"/>
          <w:b/>
          <w:bCs/>
          <w:kern w:val="0"/>
          <w14:ligatures w14:val="none"/>
        </w:rPr>
        <w:t>Article 5(1)(c) GDPR</w:t>
      </w:r>
      <w:r w:rsidRPr="0024534E">
        <w:rPr>
          <w:rFonts w:ascii="Times New Roman" w:eastAsia="Times New Roman" w:hAnsi="Times New Roman" w:cs="Times New Roman"/>
          <w:kern w:val="0"/>
          <w14:ligatures w14:val="none"/>
        </w:rPr>
        <w:t xml:space="preserve">, personal data processed must be </w:t>
      </w:r>
      <w:r w:rsidRPr="0024534E">
        <w:rPr>
          <w:rFonts w:ascii="Times New Roman" w:eastAsia="Times New Roman" w:hAnsi="Times New Roman" w:cs="Times New Roman"/>
          <w:i/>
          <w:iCs/>
          <w:kern w:val="0"/>
          <w14:ligatures w14:val="none"/>
        </w:rPr>
        <w:t>adequate, relevant and limited to what is necessary</w:t>
      </w:r>
      <w:r w:rsidRPr="0024534E">
        <w:rPr>
          <w:rFonts w:ascii="Times New Roman" w:eastAsia="Times New Roman" w:hAnsi="Times New Roman" w:cs="Times New Roman"/>
          <w:kern w:val="0"/>
          <w14:ligatures w14:val="none"/>
        </w:rPr>
        <w:t xml:space="preserve"> in relation to the purposes for which they are processed.</w:t>
      </w:r>
      <w:r w:rsidRPr="0024534E">
        <w:rPr>
          <w:rFonts w:ascii="Times New Roman" w:eastAsia="Times New Roman" w:hAnsi="Times New Roman" w:cs="Times New Roman"/>
          <w:kern w:val="0"/>
          <w14:ligatures w14:val="none"/>
        </w:rPr>
        <w:br/>
        <w:t xml:space="preserve">As clarified by </w:t>
      </w:r>
      <w:r w:rsidRPr="0024534E">
        <w:rPr>
          <w:rFonts w:ascii="Times New Roman" w:eastAsia="Times New Roman" w:hAnsi="Times New Roman" w:cs="Times New Roman"/>
          <w:b/>
          <w:bCs/>
          <w:kern w:val="0"/>
          <w14:ligatures w14:val="none"/>
        </w:rPr>
        <w:t>Recital 39</w:t>
      </w:r>
      <w:r w:rsidRPr="0024534E">
        <w:rPr>
          <w:rFonts w:ascii="Times New Roman" w:eastAsia="Times New Roman" w:hAnsi="Times New Roman" w:cs="Times New Roman"/>
          <w:kern w:val="0"/>
          <w14:ligatures w14:val="none"/>
        </w:rPr>
        <w:t>, processing should occur only if the purpose of processing cannot reasonably be fulfilled by other means; controllers must ensure the scope of data is proportionate to the objective pursued.</w:t>
      </w:r>
      <w:r w:rsidRPr="0024534E">
        <w:rPr>
          <w:rFonts w:ascii="Times New Roman" w:eastAsia="Times New Roman" w:hAnsi="Times New Roman" w:cs="Times New Roman"/>
          <w:kern w:val="0"/>
          <w14:ligatures w14:val="none"/>
        </w:rPr>
        <w:br/>
        <w:t xml:space="preserve">Under </w:t>
      </w:r>
      <w:r w:rsidRPr="0024534E">
        <w:rPr>
          <w:rFonts w:ascii="Times New Roman" w:eastAsia="Times New Roman" w:hAnsi="Times New Roman" w:cs="Times New Roman"/>
          <w:b/>
          <w:bCs/>
          <w:kern w:val="0"/>
          <w14:ligatures w14:val="none"/>
        </w:rPr>
        <w:t>Article 5(2)</w:t>
      </w:r>
      <w:r w:rsidRPr="0024534E">
        <w:rPr>
          <w:rFonts w:ascii="Times New Roman" w:eastAsia="Times New Roman" w:hAnsi="Times New Roman" w:cs="Times New Roman"/>
          <w:kern w:val="0"/>
          <w14:ligatures w14:val="none"/>
        </w:rPr>
        <w:t xml:space="preserve"> and </w:t>
      </w:r>
      <w:r w:rsidRPr="0024534E">
        <w:rPr>
          <w:rFonts w:ascii="Times New Roman" w:eastAsia="Times New Roman" w:hAnsi="Times New Roman" w:cs="Times New Roman"/>
          <w:b/>
          <w:bCs/>
          <w:kern w:val="0"/>
          <w14:ligatures w14:val="none"/>
        </w:rPr>
        <w:t>Recital 42</w:t>
      </w:r>
      <w:r w:rsidRPr="0024534E">
        <w:rPr>
          <w:rFonts w:ascii="Times New Roman" w:eastAsia="Times New Roman" w:hAnsi="Times New Roman" w:cs="Times New Roman"/>
          <w:kern w:val="0"/>
          <w14:ligatures w14:val="none"/>
        </w:rPr>
        <w:t>, the controller bears responsibility for, and must be able to demonstrate, compliance with this principle (accountability).</w:t>
      </w:r>
      <w:r w:rsidRPr="0024534E">
        <w:rPr>
          <w:rFonts w:ascii="Times New Roman" w:eastAsia="Times New Roman" w:hAnsi="Times New Roman" w:cs="Times New Roman"/>
          <w:kern w:val="0"/>
          <w14:ligatures w14:val="none"/>
        </w:rPr>
        <w:br/>
        <w:t xml:space="preserve">Per </w:t>
      </w:r>
      <w:r w:rsidRPr="0024534E">
        <w:rPr>
          <w:rFonts w:ascii="Times New Roman" w:eastAsia="Times New Roman" w:hAnsi="Times New Roman" w:cs="Times New Roman"/>
          <w:b/>
          <w:bCs/>
          <w:kern w:val="0"/>
          <w14:ligatures w14:val="none"/>
        </w:rPr>
        <w:t>Article 25</w:t>
      </w:r>
      <w:r w:rsidRPr="0024534E">
        <w:rPr>
          <w:rFonts w:ascii="Times New Roman" w:eastAsia="Times New Roman" w:hAnsi="Times New Roman" w:cs="Times New Roman"/>
          <w:kern w:val="0"/>
          <w14:ligatures w14:val="none"/>
        </w:rPr>
        <w:t xml:space="preserve"> and </w:t>
      </w:r>
      <w:r w:rsidRPr="0024534E">
        <w:rPr>
          <w:rFonts w:ascii="Times New Roman" w:eastAsia="Times New Roman" w:hAnsi="Times New Roman" w:cs="Times New Roman"/>
          <w:b/>
          <w:bCs/>
          <w:kern w:val="0"/>
          <w14:ligatures w14:val="none"/>
        </w:rPr>
        <w:t>Recital 78</w:t>
      </w:r>
      <w:r w:rsidRPr="0024534E">
        <w:rPr>
          <w:rFonts w:ascii="Times New Roman" w:eastAsia="Times New Roman" w:hAnsi="Times New Roman" w:cs="Times New Roman"/>
          <w:kern w:val="0"/>
          <w14:ligatures w14:val="none"/>
        </w:rPr>
        <w:t>, controllers must integrate this minimisation requirement into data protection by design and by default—ensuring that, by default, only data necessary for each purpose is processed.</w:t>
      </w:r>
      <w:r w:rsidRPr="0024534E">
        <w:rPr>
          <w:rFonts w:ascii="Times New Roman" w:eastAsia="Times New Roman" w:hAnsi="Times New Roman" w:cs="Times New Roman"/>
          <w:kern w:val="0"/>
          <w14:ligatures w14:val="none"/>
        </w:rPr>
        <w:br/>
      </w:r>
      <w:r w:rsidRPr="0024534E">
        <w:rPr>
          <w:rFonts w:ascii="Times New Roman" w:eastAsia="Times New Roman" w:hAnsi="Times New Roman" w:cs="Times New Roman"/>
          <w:b/>
          <w:bCs/>
          <w:kern w:val="0"/>
          <w14:ligatures w14:val="none"/>
        </w:rPr>
        <w:t>Article 89(1)</w:t>
      </w:r>
      <w:r w:rsidRPr="0024534E">
        <w:rPr>
          <w:rFonts w:ascii="Times New Roman" w:eastAsia="Times New Roman" w:hAnsi="Times New Roman" w:cs="Times New Roman"/>
          <w:kern w:val="0"/>
          <w14:ligatures w14:val="none"/>
        </w:rPr>
        <w:t xml:space="preserve"> and </w:t>
      </w:r>
      <w:r w:rsidRPr="0024534E">
        <w:rPr>
          <w:rFonts w:ascii="Times New Roman" w:eastAsia="Times New Roman" w:hAnsi="Times New Roman" w:cs="Times New Roman"/>
          <w:b/>
          <w:bCs/>
          <w:kern w:val="0"/>
          <w14:ligatures w14:val="none"/>
        </w:rPr>
        <w:t>Recital 156</w:t>
      </w:r>
      <w:r w:rsidRPr="0024534E">
        <w:rPr>
          <w:rFonts w:ascii="Times New Roman" w:eastAsia="Times New Roman" w:hAnsi="Times New Roman" w:cs="Times New Roman"/>
          <w:kern w:val="0"/>
          <w14:ligatures w14:val="none"/>
        </w:rPr>
        <w:t xml:space="preserve"> further clarify that for scientific or historical research or statistical purposes, data minimisation applies but may be balanced with public interest, provided appropriate safeguards (such as pseudonymisation) are implemented.</w:t>
      </w:r>
    </w:p>
    <w:p w14:paraId="4C44415B" w14:textId="77777777" w:rsidR="0024534E" w:rsidRPr="0024534E" w:rsidRDefault="00C56F9F" w:rsidP="0024534E">
      <w:pPr>
        <w:spacing w:after="0" w:line="240" w:lineRule="auto"/>
        <w:rPr>
          <w:rFonts w:ascii="Times New Roman" w:eastAsia="Times New Roman" w:hAnsi="Times New Roman" w:cs="Times New Roman"/>
          <w:kern w:val="0"/>
          <w14:ligatures w14:val="none"/>
        </w:rPr>
      </w:pPr>
      <w:r w:rsidRPr="00C56F9F">
        <w:rPr>
          <w:rFonts w:ascii="Times New Roman" w:eastAsia="Times New Roman" w:hAnsi="Times New Roman" w:cs="Times New Roman"/>
          <w:noProof/>
          <w:kern w:val="0"/>
        </w:rPr>
        <w:pict w14:anchorId="67A4ABCE">
          <v:rect id="_x0000_i1025" alt="" style="width:468pt;height:.05pt;mso-width-percent:0;mso-height-percent:0;mso-width-percent:0;mso-height-percent:0" o:hralign="center" o:hrstd="t" o:hr="t" fillcolor="#a0a0a0" stroked="f"/>
        </w:pict>
      </w:r>
    </w:p>
    <w:p w14:paraId="718C0D02" w14:textId="77777777" w:rsidR="0024534E" w:rsidRPr="0024534E" w:rsidRDefault="0024534E" w:rsidP="0024534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Step 4 — Logical Structure of the Rule</w:t>
      </w:r>
    </w:p>
    <w:p w14:paraId="24DBF479" w14:textId="77777777" w:rsidR="0024534E" w:rsidRPr="0024534E" w:rsidRDefault="0024534E" w:rsidP="0024534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534E">
        <w:rPr>
          <w:rFonts w:ascii="Times New Roman" w:eastAsia="Times New Roman" w:hAnsi="Times New Roman" w:cs="Times New Roman"/>
          <w:b/>
          <w:bCs/>
          <w:kern w:val="0"/>
          <w14:ligatures w14:val="none"/>
        </w:rPr>
        <w:t>Legal Rule:</w:t>
      </w:r>
    </w:p>
    <w:p w14:paraId="253E8B45"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Conclusion:</w:t>
      </w:r>
      <w:r w:rsidRPr="0024534E">
        <w:rPr>
          <w:rFonts w:ascii="Times New Roman" w:eastAsia="Times New Roman" w:hAnsi="Times New Roman" w:cs="Times New Roman"/>
          <w:kern w:val="0"/>
          <w14:ligatures w14:val="none"/>
        </w:rPr>
        <w:br/>
        <w:t>→ Processing of personal data is lawful and compliant with the GDPR data minimisation principle</w:t>
      </w:r>
    </w:p>
    <w:p w14:paraId="6B718A37"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IF:</w:t>
      </w:r>
    </w:p>
    <w:p w14:paraId="7DD04A00"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personal data are </w:t>
      </w:r>
      <w:r w:rsidRPr="0024534E">
        <w:rPr>
          <w:rFonts w:ascii="Times New Roman" w:eastAsia="Times New Roman" w:hAnsi="Times New Roman" w:cs="Times New Roman"/>
          <w:b/>
          <w:bCs/>
          <w:kern w:val="0"/>
          <w14:ligatures w14:val="none"/>
        </w:rPr>
        <w:t>adequate</w:t>
      </w:r>
      <w:r w:rsidRPr="0024534E">
        <w:rPr>
          <w:rFonts w:ascii="Times New Roman" w:eastAsia="Times New Roman" w:hAnsi="Times New Roman" w:cs="Times New Roman"/>
          <w:kern w:val="0"/>
          <w14:ligatures w14:val="none"/>
        </w:rPr>
        <w:t xml:space="preserve"> for the processing purpose; </w:t>
      </w:r>
      <w:r w:rsidRPr="0024534E">
        <w:rPr>
          <w:rFonts w:ascii="Times New Roman" w:eastAsia="Times New Roman" w:hAnsi="Times New Roman" w:cs="Times New Roman"/>
          <w:b/>
          <w:bCs/>
          <w:kern w:val="0"/>
          <w14:ligatures w14:val="none"/>
        </w:rPr>
        <w:t>AND</w:t>
      </w:r>
    </w:p>
    <w:p w14:paraId="3AB3E31A"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personal data are </w:t>
      </w:r>
      <w:r w:rsidRPr="0024534E">
        <w:rPr>
          <w:rFonts w:ascii="Times New Roman" w:eastAsia="Times New Roman" w:hAnsi="Times New Roman" w:cs="Times New Roman"/>
          <w:b/>
          <w:bCs/>
          <w:kern w:val="0"/>
          <w14:ligatures w14:val="none"/>
        </w:rPr>
        <w:t>relevant</w:t>
      </w:r>
      <w:r w:rsidRPr="0024534E">
        <w:rPr>
          <w:rFonts w:ascii="Times New Roman" w:eastAsia="Times New Roman" w:hAnsi="Times New Roman" w:cs="Times New Roman"/>
          <w:kern w:val="0"/>
          <w14:ligatures w14:val="none"/>
        </w:rPr>
        <w:t xml:space="preserve"> to the purpose of processing; </w:t>
      </w:r>
      <w:r w:rsidRPr="0024534E">
        <w:rPr>
          <w:rFonts w:ascii="Times New Roman" w:eastAsia="Times New Roman" w:hAnsi="Times New Roman" w:cs="Times New Roman"/>
          <w:b/>
          <w:bCs/>
          <w:kern w:val="0"/>
          <w14:ligatures w14:val="none"/>
        </w:rPr>
        <w:t>AND</w:t>
      </w:r>
    </w:p>
    <w:p w14:paraId="221C3516"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personal data are </w:t>
      </w:r>
      <w:r w:rsidRPr="0024534E">
        <w:rPr>
          <w:rFonts w:ascii="Times New Roman" w:eastAsia="Times New Roman" w:hAnsi="Times New Roman" w:cs="Times New Roman"/>
          <w:b/>
          <w:bCs/>
          <w:kern w:val="0"/>
          <w14:ligatures w14:val="none"/>
        </w:rPr>
        <w:t>limited to what is necessary</w:t>
      </w:r>
      <w:r w:rsidRPr="0024534E">
        <w:rPr>
          <w:rFonts w:ascii="Times New Roman" w:eastAsia="Times New Roman" w:hAnsi="Times New Roman" w:cs="Times New Roman"/>
          <w:kern w:val="0"/>
          <w14:ligatures w14:val="none"/>
        </w:rPr>
        <w:t xml:space="preserve"> for that purpose; </w:t>
      </w:r>
      <w:r w:rsidRPr="0024534E">
        <w:rPr>
          <w:rFonts w:ascii="Times New Roman" w:eastAsia="Times New Roman" w:hAnsi="Times New Roman" w:cs="Times New Roman"/>
          <w:b/>
          <w:bCs/>
          <w:kern w:val="0"/>
          <w14:ligatures w14:val="none"/>
        </w:rPr>
        <w:t>AND</w:t>
      </w:r>
    </w:p>
    <w:p w14:paraId="2F2D6243"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processing purpose </w:t>
      </w:r>
      <w:r w:rsidRPr="0024534E">
        <w:rPr>
          <w:rFonts w:ascii="Times New Roman" w:eastAsia="Times New Roman" w:hAnsi="Times New Roman" w:cs="Times New Roman"/>
          <w:b/>
          <w:bCs/>
          <w:color w:val="EE0000"/>
          <w:kern w:val="0"/>
          <w14:ligatures w14:val="none"/>
        </w:rPr>
        <w:t>cannot reasonably be fulfilled by other means</w:t>
      </w:r>
      <w:r w:rsidRPr="0024534E">
        <w:rPr>
          <w:rFonts w:ascii="Times New Roman" w:eastAsia="Times New Roman" w:hAnsi="Times New Roman" w:cs="Times New Roman"/>
          <w:kern w:val="0"/>
          <w14:ligatures w14:val="none"/>
        </w:rPr>
        <w:t xml:space="preserve">; </w:t>
      </w:r>
      <w:r w:rsidRPr="0024534E">
        <w:rPr>
          <w:rFonts w:ascii="Times New Roman" w:eastAsia="Times New Roman" w:hAnsi="Times New Roman" w:cs="Times New Roman"/>
          <w:b/>
          <w:bCs/>
          <w:kern w:val="0"/>
          <w14:ligatures w14:val="none"/>
        </w:rPr>
        <w:t>AND</w:t>
      </w:r>
    </w:p>
    <w:p w14:paraId="7B1F72F0"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The controller </w:t>
      </w:r>
      <w:r w:rsidRPr="0024534E">
        <w:rPr>
          <w:rFonts w:ascii="Times New Roman" w:eastAsia="Times New Roman" w:hAnsi="Times New Roman" w:cs="Times New Roman"/>
          <w:b/>
          <w:bCs/>
          <w:kern w:val="0"/>
          <w14:ligatures w14:val="none"/>
        </w:rPr>
        <w:t>can demonstrate</w:t>
      </w:r>
      <w:r w:rsidRPr="0024534E">
        <w:rPr>
          <w:rFonts w:ascii="Times New Roman" w:eastAsia="Times New Roman" w:hAnsi="Times New Roman" w:cs="Times New Roman"/>
          <w:kern w:val="0"/>
          <w14:ligatures w14:val="none"/>
        </w:rPr>
        <w:t xml:space="preserve"> compliance with this principle; </w:t>
      </w:r>
      <w:r w:rsidRPr="0024534E">
        <w:rPr>
          <w:rFonts w:ascii="Times New Roman" w:eastAsia="Times New Roman" w:hAnsi="Times New Roman" w:cs="Times New Roman"/>
          <w:b/>
          <w:bCs/>
          <w:kern w:val="0"/>
          <w14:ligatures w14:val="none"/>
        </w:rPr>
        <w:t>AND</w:t>
      </w:r>
    </w:p>
    <w:p w14:paraId="00894FC9" w14:textId="77777777" w:rsidR="0024534E" w:rsidRPr="0024534E" w:rsidRDefault="0024534E" w:rsidP="0024534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Data protection by design and by default mechanisms </w:t>
      </w:r>
      <w:r w:rsidRPr="0024534E">
        <w:rPr>
          <w:rFonts w:ascii="Times New Roman" w:eastAsia="Times New Roman" w:hAnsi="Times New Roman" w:cs="Times New Roman"/>
          <w:b/>
          <w:bCs/>
          <w:kern w:val="0"/>
          <w14:ligatures w14:val="none"/>
        </w:rPr>
        <w:t>ensure</w:t>
      </w:r>
      <w:r w:rsidRPr="0024534E">
        <w:rPr>
          <w:rFonts w:ascii="Times New Roman" w:eastAsia="Times New Roman" w:hAnsi="Times New Roman" w:cs="Times New Roman"/>
          <w:kern w:val="0"/>
          <w14:ligatures w14:val="none"/>
        </w:rPr>
        <w:t xml:space="preserve"> minimisation at each stage.</w:t>
      </w:r>
    </w:p>
    <w:p w14:paraId="2EC68965" w14:textId="77777777" w:rsidR="0024534E" w:rsidRPr="0024534E" w:rsidRDefault="0024534E" w:rsidP="0024534E">
      <w:p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b/>
          <w:bCs/>
          <w:kern w:val="0"/>
          <w14:ligatures w14:val="none"/>
        </w:rPr>
        <w:t>Exceptions to the rule:</w:t>
      </w:r>
    </w:p>
    <w:p w14:paraId="1191A417" w14:textId="77777777" w:rsidR="0024534E" w:rsidRPr="0024534E" w:rsidRDefault="0024534E" w:rsidP="0024534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4534E">
        <w:rPr>
          <w:rFonts w:ascii="Times New Roman" w:eastAsia="Times New Roman" w:hAnsi="Times New Roman" w:cs="Times New Roman"/>
          <w:kern w:val="0"/>
          <w14:ligatures w14:val="none"/>
        </w:rPr>
        <w:t xml:space="preserve">Under </w:t>
      </w:r>
      <w:r w:rsidRPr="0024534E">
        <w:rPr>
          <w:rFonts w:ascii="Times New Roman" w:eastAsia="Times New Roman" w:hAnsi="Times New Roman" w:cs="Times New Roman"/>
          <w:b/>
          <w:bCs/>
          <w:kern w:val="0"/>
          <w14:ligatures w14:val="none"/>
        </w:rPr>
        <w:t>Article 89(1)</w:t>
      </w:r>
      <w:r w:rsidRPr="0024534E">
        <w:rPr>
          <w:rFonts w:ascii="Times New Roman" w:eastAsia="Times New Roman" w:hAnsi="Times New Roman" w:cs="Times New Roman"/>
          <w:kern w:val="0"/>
          <w14:ligatures w14:val="none"/>
        </w:rPr>
        <w:t xml:space="preserve"> and </w:t>
      </w:r>
      <w:r w:rsidRPr="0024534E">
        <w:rPr>
          <w:rFonts w:ascii="Times New Roman" w:eastAsia="Times New Roman" w:hAnsi="Times New Roman" w:cs="Times New Roman"/>
          <w:b/>
          <w:bCs/>
          <w:kern w:val="0"/>
          <w14:ligatures w14:val="none"/>
        </w:rPr>
        <w:t>Recital 156</w:t>
      </w:r>
      <w:r w:rsidRPr="0024534E">
        <w:rPr>
          <w:rFonts w:ascii="Times New Roman" w:eastAsia="Times New Roman" w:hAnsi="Times New Roman" w:cs="Times New Roman"/>
          <w:kern w:val="0"/>
          <w14:ligatures w14:val="none"/>
        </w:rPr>
        <w:t xml:space="preserve">, deviations are permitted for scientific, historical, or statistical purposes </w:t>
      </w:r>
      <w:r w:rsidRPr="0024534E">
        <w:rPr>
          <w:rFonts w:ascii="Times New Roman" w:eastAsia="Times New Roman" w:hAnsi="Times New Roman" w:cs="Times New Roman"/>
          <w:b/>
          <w:bCs/>
          <w:kern w:val="0"/>
          <w14:ligatures w14:val="none"/>
        </w:rPr>
        <w:t>if appropriate safeguards</w:t>
      </w:r>
      <w:r w:rsidRPr="0024534E">
        <w:rPr>
          <w:rFonts w:ascii="Times New Roman" w:eastAsia="Times New Roman" w:hAnsi="Times New Roman" w:cs="Times New Roman"/>
          <w:kern w:val="0"/>
          <w14:ligatures w14:val="none"/>
        </w:rPr>
        <w:t xml:space="preserve"> (e.g., pseudonymisation or data limitation) are implemented.</w:t>
      </w:r>
    </w:p>
    <w:p w14:paraId="3F70C87B" w14:textId="77777777" w:rsidR="00F63D29" w:rsidRPr="0024534E" w:rsidRDefault="00F63D29" w:rsidP="00F63D29">
      <w:pPr>
        <w:spacing w:after="0" w:line="240" w:lineRule="auto"/>
        <w:rPr>
          <w:rFonts w:ascii="Times New Roman" w:hAnsi="Times New Roman" w:cs="Times New Roman"/>
        </w:rPr>
      </w:pPr>
    </w:p>
    <w:sectPr w:rsidR="00F63D29" w:rsidRPr="0024534E" w:rsidSect="00F63D2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675A"/>
    <w:multiLevelType w:val="multilevel"/>
    <w:tmpl w:val="7716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E224D"/>
    <w:multiLevelType w:val="multilevel"/>
    <w:tmpl w:val="314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33A0B"/>
    <w:multiLevelType w:val="multilevel"/>
    <w:tmpl w:val="F6D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73570"/>
    <w:multiLevelType w:val="multilevel"/>
    <w:tmpl w:val="90D6F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47589"/>
    <w:multiLevelType w:val="multilevel"/>
    <w:tmpl w:val="93800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F91711"/>
    <w:multiLevelType w:val="multilevel"/>
    <w:tmpl w:val="3A54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81C1D"/>
    <w:multiLevelType w:val="multilevel"/>
    <w:tmpl w:val="991A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B1BB1"/>
    <w:multiLevelType w:val="multilevel"/>
    <w:tmpl w:val="192E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035099"/>
    <w:multiLevelType w:val="multilevel"/>
    <w:tmpl w:val="AD367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142ACB"/>
    <w:multiLevelType w:val="multilevel"/>
    <w:tmpl w:val="ABFA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82EA5"/>
    <w:multiLevelType w:val="multilevel"/>
    <w:tmpl w:val="3B3A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31061D"/>
    <w:multiLevelType w:val="multilevel"/>
    <w:tmpl w:val="5078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32A05"/>
    <w:multiLevelType w:val="multilevel"/>
    <w:tmpl w:val="6B96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75CBB"/>
    <w:multiLevelType w:val="multilevel"/>
    <w:tmpl w:val="7F00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876027"/>
    <w:multiLevelType w:val="multilevel"/>
    <w:tmpl w:val="F53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DD7B6D"/>
    <w:multiLevelType w:val="multilevel"/>
    <w:tmpl w:val="D1A07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15551E"/>
    <w:multiLevelType w:val="multilevel"/>
    <w:tmpl w:val="3F4E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40046">
    <w:abstractNumId w:val="2"/>
  </w:num>
  <w:num w:numId="2" w16cid:durableId="1542553208">
    <w:abstractNumId w:val="12"/>
  </w:num>
  <w:num w:numId="3" w16cid:durableId="1109859430">
    <w:abstractNumId w:val="5"/>
  </w:num>
  <w:num w:numId="4" w16cid:durableId="215941873">
    <w:abstractNumId w:val="9"/>
  </w:num>
  <w:num w:numId="5" w16cid:durableId="73170750">
    <w:abstractNumId w:val="10"/>
  </w:num>
  <w:num w:numId="6" w16cid:durableId="1777484996">
    <w:abstractNumId w:val="13"/>
  </w:num>
  <w:num w:numId="7" w16cid:durableId="21327629">
    <w:abstractNumId w:val="11"/>
  </w:num>
  <w:num w:numId="8" w16cid:durableId="432481982">
    <w:abstractNumId w:val="4"/>
  </w:num>
  <w:num w:numId="9" w16cid:durableId="1875851885">
    <w:abstractNumId w:val="15"/>
  </w:num>
  <w:num w:numId="10" w16cid:durableId="1890339722">
    <w:abstractNumId w:val="6"/>
  </w:num>
  <w:num w:numId="11" w16cid:durableId="1038509863">
    <w:abstractNumId w:val="8"/>
  </w:num>
  <w:num w:numId="12" w16cid:durableId="1599407660">
    <w:abstractNumId w:val="1"/>
  </w:num>
  <w:num w:numId="13" w16cid:durableId="1548758439">
    <w:abstractNumId w:val="14"/>
  </w:num>
  <w:num w:numId="14" w16cid:durableId="2133209257">
    <w:abstractNumId w:val="0"/>
  </w:num>
  <w:num w:numId="15" w16cid:durableId="182138486">
    <w:abstractNumId w:val="16"/>
  </w:num>
  <w:num w:numId="16" w16cid:durableId="600913003">
    <w:abstractNumId w:val="3"/>
  </w:num>
  <w:num w:numId="17" w16cid:durableId="1966307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060"/>
    <w:rsid w:val="000C4D38"/>
    <w:rsid w:val="001213D7"/>
    <w:rsid w:val="0015597A"/>
    <w:rsid w:val="001F5015"/>
    <w:rsid w:val="0022098F"/>
    <w:rsid w:val="00226678"/>
    <w:rsid w:val="0024534E"/>
    <w:rsid w:val="00252376"/>
    <w:rsid w:val="002524EF"/>
    <w:rsid w:val="002B54A0"/>
    <w:rsid w:val="002C0BC2"/>
    <w:rsid w:val="002D7B9C"/>
    <w:rsid w:val="00337EF8"/>
    <w:rsid w:val="00393F0C"/>
    <w:rsid w:val="00691C0C"/>
    <w:rsid w:val="006C2607"/>
    <w:rsid w:val="007B1F99"/>
    <w:rsid w:val="007F01F9"/>
    <w:rsid w:val="008A0ECB"/>
    <w:rsid w:val="008F4577"/>
    <w:rsid w:val="00955679"/>
    <w:rsid w:val="00957B7D"/>
    <w:rsid w:val="00A86605"/>
    <w:rsid w:val="00BA5160"/>
    <w:rsid w:val="00BF3DE0"/>
    <w:rsid w:val="00C508EC"/>
    <w:rsid w:val="00C51060"/>
    <w:rsid w:val="00C56F9F"/>
    <w:rsid w:val="00C72D5C"/>
    <w:rsid w:val="00CA3D6A"/>
    <w:rsid w:val="00D0616B"/>
    <w:rsid w:val="00D56254"/>
    <w:rsid w:val="00DB531D"/>
    <w:rsid w:val="00DC38FE"/>
    <w:rsid w:val="00E25E12"/>
    <w:rsid w:val="00ED6814"/>
    <w:rsid w:val="00F12FFE"/>
    <w:rsid w:val="00F329CE"/>
    <w:rsid w:val="00F63D29"/>
  </w:rsids>
  <m:mathPr>
    <m:mathFont m:val="Cambria Math"/>
    <m:brkBin m:val="before"/>
    <m:brkBinSub m:val="--"/>
    <m:smallFrac m:val="0"/>
    <m:dispDef/>
    <m:lMargin m:val="0"/>
    <m:rMargin m:val="0"/>
    <m:defJc m:val="centerGroup"/>
    <m:wrapIndent m:val="1440"/>
    <m:intLim m:val="subSup"/>
    <m:naryLim m:val="undOvr"/>
  </m:mathPr>
  <w:themeFontLang w:val="en-MM"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33C06"/>
  <w15:chartTrackingRefBased/>
  <w15:docId w15:val="{9E4D4767-03FA-1B4C-B171-499DB0863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M"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C510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10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10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510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0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0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10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10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510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0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060"/>
    <w:rPr>
      <w:rFonts w:eastAsiaTheme="majorEastAsia" w:cstheme="majorBidi"/>
      <w:color w:val="272727" w:themeColor="text1" w:themeTint="D8"/>
    </w:rPr>
  </w:style>
  <w:style w:type="paragraph" w:styleId="Title">
    <w:name w:val="Title"/>
    <w:basedOn w:val="Normal"/>
    <w:next w:val="Normal"/>
    <w:link w:val="TitleChar"/>
    <w:uiPriority w:val="10"/>
    <w:qFormat/>
    <w:rsid w:val="00C51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060"/>
    <w:pPr>
      <w:spacing w:before="160"/>
      <w:jc w:val="center"/>
    </w:pPr>
    <w:rPr>
      <w:i/>
      <w:iCs/>
      <w:color w:val="404040" w:themeColor="text1" w:themeTint="BF"/>
    </w:rPr>
  </w:style>
  <w:style w:type="character" w:customStyle="1" w:styleId="QuoteChar">
    <w:name w:val="Quote Char"/>
    <w:basedOn w:val="DefaultParagraphFont"/>
    <w:link w:val="Quote"/>
    <w:uiPriority w:val="29"/>
    <w:rsid w:val="00C51060"/>
    <w:rPr>
      <w:rFonts w:cs="Arial Unicode MS"/>
      <w:i/>
      <w:iCs/>
      <w:color w:val="404040" w:themeColor="text1" w:themeTint="BF"/>
    </w:rPr>
  </w:style>
  <w:style w:type="paragraph" w:styleId="ListParagraph">
    <w:name w:val="List Paragraph"/>
    <w:basedOn w:val="Normal"/>
    <w:uiPriority w:val="34"/>
    <w:qFormat/>
    <w:rsid w:val="00C51060"/>
    <w:pPr>
      <w:ind w:left="720"/>
      <w:contextualSpacing/>
    </w:pPr>
  </w:style>
  <w:style w:type="character" w:styleId="IntenseEmphasis">
    <w:name w:val="Intense Emphasis"/>
    <w:basedOn w:val="DefaultParagraphFont"/>
    <w:uiPriority w:val="21"/>
    <w:qFormat/>
    <w:rsid w:val="00C51060"/>
    <w:rPr>
      <w:i/>
      <w:iCs/>
      <w:color w:val="0F4761" w:themeColor="accent1" w:themeShade="BF"/>
    </w:rPr>
  </w:style>
  <w:style w:type="paragraph" w:styleId="IntenseQuote">
    <w:name w:val="Intense Quote"/>
    <w:basedOn w:val="Normal"/>
    <w:next w:val="Normal"/>
    <w:link w:val="IntenseQuoteChar"/>
    <w:uiPriority w:val="30"/>
    <w:qFormat/>
    <w:rsid w:val="00C510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060"/>
    <w:rPr>
      <w:rFonts w:cs="Arial Unicode MS"/>
      <w:i/>
      <w:iCs/>
      <w:color w:val="0F4761" w:themeColor="accent1" w:themeShade="BF"/>
    </w:rPr>
  </w:style>
  <w:style w:type="character" w:styleId="IntenseReference">
    <w:name w:val="Intense Reference"/>
    <w:basedOn w:val="DefaultParagraphFont"/>
    <w:uiPriority w:val="32"/>
    <w:qFormat/>
    <w:rsid w:val="00C51060"/>
    <w:rPr>
      <w:b/>
      <w:bCs/>
      <w:smallCaps/>
      <w:color w:val="0F4761" w:themeColor="accent1" w:themeShade="BF"/>
      <w:spacing w:val="5"/>
    </w:rPr>
  </w:style>
  <w:style w:type="paragraph" w:styleId="NormalWeb">
    <w:name w:val="Normal (Web)"/>
    <w:basedOn w:val="Normal"/>
    <w:uiPriority w:val="99"/>
    <w:unhideWhenUsed/>
    <w:rsid w:val="00C5106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51060"/>
    <w:rPr>
      <w:b/>
      <w:bCs/>
    </w:rPr>
  </w:style>
  <w:style w:type="character" w:styleId="Emphasis">
    <w:name w:val="Emphasis"/>
    <w:basedOn w:val="DefaultParagraphFont"/>
    <w:uiPriority w:val="20"/>
    <w:qFormat/>
    <w:rsid w:val="00337EF8"/>
    <w:rPr>
      <w:i/>
      <w:iCs/>
    </w:rPr>
  </w:style>
  <w:style w:type="character" w:styleId="Hyperlink">
    <w:name w:val="Hyperlink"/>
    <w:basedOn w:val="DefaultParagraphFont"/>
    <w:uiPriority w:val="99"/>
    <w:unhideWhenUsed/>
    <w:rsid w:val="00DC38FE"/>
    <w:rPr>
      <w:color w:val="467886" w:themeColor="hyperlink"/>
      <w:u w:val="single"/>
    </w:rPr>
  </w:style>
  <w:style w:type="character" w:styleId="UnresolvedMention">
    <w:name w:val="Unresolved Mention"/>
    <w:basedOn w:val="DefaultParagraphFont"/>
    <w:uiPriority w:val="99"/>
    <w:semiHidden/>
    <w:unhideWhenUsed/>
    <w:rsid w:val="00DC3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share/690bcabf-395c-8008-ab7c-0bd2c71ed6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 Myo Zin</dc:creator>
  <cp:keywords/>
  <dc:description/>
  <cp:lastModifiedBy>May Myo Zin</cp:lastModifiedBy>
  <cp:revision>7</cp:revision>
  <dcterms:created xsi:type="dcterms:W3CDTF">2025-11-05T22:04:00Z</dcterms:created>
  <dcterms:modified xsi:type="dcterms:W3CDTF">2025-11-05T22:09:00Z</dcterms:modified>
</cp:coreProperties>
</file>