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E24DF" w14:textId="52A64661" w:rsidR="006C2607" w:rsidRPr="00CB252F" w:rsidRDefault="00F63D29" w:rsidP="00F63D29">
      <w:pPr>
        <w:spacing w:after="0" w:line="240" w:lineRule="auto"/>
        <w:rPr>
          <w:rFonts w:ascii="Times New Roman" w:hAnsi="Times New Roman" w:cs="Times New Roman"/>
          <w:b/>
          <w:bCs/>
          <w:u w:val="single"/>
          <w:lang w:val="en-US"/>
        </w:rPr>
      </w:pPr>
      <w:r w:rsidRPr="00CB252F">
        <w:rPr>
          <w:rFonts w:ascii="Times New Roman" w:hAnsi="Times New Roman" w:cs="Times New Roman"/>
          <w:b/>
          <w:bCs/>
          <w:u w:val="single"/>
          <w:lang w:val="en-US"/>
        </w:rPr>
        <w:t>Article 5 (1</w:t>
      </w:r>
      <w:r w:rsidR="00CB252F" w:rsidRPr="00CB252F">
        <w:rPr>
          <w:rFonts w:ascii="Times New Roman" w:hAnsi="Times New Roman" w:cs="Times New Roman"/>
          <w:b/>
          <w:bCs/>
          <w:u w:val="single"/>
          <w:lang w:val="en-US"/>
        </w:rPr>
        <w:t>e</w:t>
      </w:r>
      <w:r w:rsidRPr="00CB252F">
        <w:rPr>
          <w:rFonts w:ascii="Times New Roman" w:hAnsi="Times New Roman" w:cs="Times New Roman"/>
          <w:b/>
          <w:bCs/>
          <w:u w:val="single"/>
          <w:lang w:val="en-US"/>
        </w:rPr>
        <w:t>)</w:t>
      </w:r>
    </w:p>
    <w:p w14:paraId="1C2F852C" w14:textId="77777777" w:rsidR="00F63D29" w:rsidRPr="00CB252F" w:rsidRDefault="00F63D29" w:rsidP="00F63D29">
      <w:pPr>
        <w:spacing w:after="0" w:line="240" w:lineRule="auto"/>
        <w:rPr>
          <w:rFonts w:ascii="Times New Roman" w:hAnsi="Times New Roman" w:cs="Times New Roman"/>
          <w:b/>
          <w:bCs/>
          <w:u w:val="single"/>
          <w:lang w:val="en-US"/>
        </w:rPr>
      </w:pPr>
    </w:p>
    <w:p w14:paraId="7B15DAA7" w14:textId="5126C412" w:rsidR="00CB252F" w:rsidRPr="00CB252F" w:rsidRDefault="00CB252F" w:rsidP="00F63D29">
      <w:pPr>
        <w:spacing w:after="0" w:line="240" w:lineRule="auto"/>
        <w:rPr>
          <w:rFonts w:ascii="Times New Roman" w:hAnsi="Times New Roman" w:cs="Times New Roman"/>
          <w:b/>
          <w:bCs/>
          <w:u w:val="single"/>
        </w:rPr>
      </w:pPr>
      <w:hyperlink r:id="rId5" w:history="1">
        <w:r w:rsidRPr="00CB252F">
          <w:rPr>
            <w:rStyle w:val="Hyperlink"/>
            <w:rFonts w:ascii="Times New Roman" w:hAnsi="Times New Roman" w:cs="Times New Roman"/>
            <w:b/>
            <w:bCs/>
          </w:rPr>
          <w:t>https://chatgpt.com/share/690bdaac-8074-8008-8a34-de37c6aa61e9</w:t>
        </w:r>
      </w:hyperlink>
    </w:p>
    <w:p w14:paraId="1BEB0F1A" w14:textId="77777777" w:rsidR="00CB252F" w:rsidRPr="00CB252F" w:rsidRDefault="00CB252F" w:rsidP="00F63D29">
      <w:pPr>
        <w:spacing w:after="0" w:line="240" w:lineRule="auto"/>
        <w:rPr>
          <w:rFonts w:ascii="Times New Roman" w:hAnsi="Times New Roman" w:cs="Times New Roman"/>
          <w:b/>
          <w:bCs/>
          <w:u w:val="single"/>
        </w:rPr>
      </w:pPr>
    </w:p>
    <w:p w14:paraId="3F19B3FB" w14:textId="77777777" w:rsidR="00CB252F" w:rsidRP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STEP 1. Identify Relevant Recitals</w:t>
      </w:r>
    </w:p>
    <w:p w14:paraId="581A769B"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The following </w:t>
      </w:r>
      <w:r w:rsidRPr="00CB252F">
        <w:rPr>
          <w:rFonts w:ascii="Times New Roman" w:eastAsia="Times New Roman" w:hAnsi="Times New Roman" w:cs="Times New Roman"/>
          <w:b/>
          <w:bCs/>
          <w:kern w:val="0"/>
          <w14:ligatures w14:val="none"/>
        </w:rPr>
        <w:t>Recitals</w:t>
      </w:r>
      <w:r w:rsidRPr="00CB252F">
        <w:rPr>
          <w:rFonts w:ascii="Times New Roman" w:eastAsia="Times New Roman" w:hAnsi="Times New Roman" w:cs="Times New Roman"/>
          <w:kern w:val="0"/>
          <w14:ligatures w14:val="none"/>
        </w:rPr>
        <w:t xml:space="preserve"> of the GDPR interpret and explain Article 5(1)(e):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6552"/>
        <w:gridCol w:w="2898"/>
      </w:tblGrid>
      <w:tr w:rsidR="00CB252F" w:rsidRPr="00CB252F" w14:paraId="7A365210" w14:textId="77777777" w:rsidTr="00CB252F">
        <w:trPr>
          <w:tblHeader/>
          <w:tblCellSpacing w:w="15" w:type="dxa"/>
        </w:trPr>
        <w:tc>
          <w:tcPr>
            <w:tcW w:w="1305" w:type="dxa"/>
            <w:vAlign w:val="center"/>
            <w:hideMark/>
          </w:tcPr>
          <w:p w14:paraId="0A44EAA9" w14:textId="77777777" w:rsidR="00CB252F" w:rsidRPr="00CB252F" w:rsidRDefault="00CB252F" w:rsidP="00CB252F">
            <w:pPr>
              <w:spacing w:after="0" w:line="240" w:lineRule="auto"/>
              <w:jc w:val="center"/>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Recital</w:t>
            </w:r>
          </w:p>
        </w:tc>
        <w:tc>
          <w:tcPr>
            <w:tcW w:w="6522" w:type="dxa"/>
            <w:vAlign w:val="center"/>
            <w:hideMark/>
          </w:tcPr>
          <w:p w14:paraId="10EAFA6A" w14:textId="77777777" w:rsidR="00CB252F" w:rsidRPr="00CB252F" w:rsidRDefault="00CB252F" w:rsidP="00CB252F">
            <w:pPr>
              <w:spacing w:after="0" w:line="240" w:lineRule="auto"/>
              <w:jc w:val="center"/>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Content Summary</w:t>
            </w:r>
          </w:p>
        </w:tc>
        <w:tc>
          <w:tcPr>
            <w:tcW w:w="0" w:type="auto"/>
            <w:vAlign w:val="center"/>
            <w:hideMark/>
          </w:tcPr>
          <w:p w14:paraId="21955DA5" w14:textId="77777777" w:rsidR="00CB252F" w:rsidRPr="00CB252F" w:rsidRDefault="00CB252F" w:rsidP="00CB252F">
            <w:pPr>
              <w:spacing w:after="0" w:line="240" w:lineRule="auto"/>
              <w:jc w:val="center"/>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Connection</w:t>
            </w:r>
          </w:p>
        </w:tc>
      </w:tr>
      <w:tr w:rsidR="00CB252F" w:rsidRPr="00CB252F" w14:paraId="3D78A21B" w14:textId="77777777" w:rsidTr="00CB252F">
        <w:trPr>
          <w:tblCellSpacing w:w="15" w:type="dxa"/>
        </w:trPr>
        <w:tc>
          <w:tcPr>
            <w:tcW w:w="1305" w:type="dxa"/>
            <w:vAlign w:val="center"/>
            <w:hideMark/>
          </w:tcPr>
          <w:p w14:paraId="10F728D3"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Recital 39</w:t>
            </w:r>
          </w:p>
        </w:tc>
        <w:tc>
          <w:tcPr>
            <w:tcW w:w="6522" w:type="dxa"/>
            <w:vAlign w:val="center"/>
            <w:hideMark/>
          </w:tcPr>
          <w:p w14:paraId="74E5E79D"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States that personal data should be kept no longer than necessary for the purposes of processing, and that time limits for erasure or periodic review should be established.</w:t>
            </w:r>
          </w:p>
        </w:tc>
        <w:tc>
          <w:tcPr>
            <w:tcW w:w="0" w:type="auto"/>
            <w:vAlign w:val="center"/>
            <w:hideMark/>
          </w:tcPr>
          <w:p w14:paraId="32F35E62"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Directly interprets the "storage limitation" principle.</w:t>
            </w:r>
          </w:p>
        </w:tc>
      </w:tr>
      <w:tr w:rsidR="00CB252F" w:rsidRPr="00CB252F" w14:paraId="013C4146" w14:textId="77777777" w:rsidTr="00CB252F">
        <w:trPr>
          <w:tblCellSpacing w:w="15" w:type="dxa"/>
        </w:trPr>
        <w:tc>
          <w:tcPr>
            <w:tcW w:w="1305" w:type="dxa"/>
            <w:vAlign w:val="center"/>
            <w:hideMark/>
          </w:tcPr>
          <w:p w14:paraId="57EFAABE"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Recital 47</w:t>
            </w:r>
          </w:p>
        </w:tc>
        <w:tc>
          <w:tcPr>
            <w:tcW w:w="6522" w:type="dxa"/>
            <w:vAlign w:val="center"/>
            <w:hideMark/>
          </w:tcPr>
          <w:p w14:paraId="20761910"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Relates to the necessity of processing for legitimate interests, which may indirectly affect retention periods.</w:t>
            </w:r>
          </w:p>
        </w:tc>
        <w:tc>
          <w:tcPr>
            <w:tcW w:w="0" w:type="auto"/>
            <w:vAlign w:val="center"/>
            <w:hideMark/>
          </w:tcPr>
          <w:p w14:paraId="6DAC2CB6"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Interprets contextual necessity and duration.</w:t>
            </w:r>
          </w:p>
        </w:tc>
      </w:tr>
      <w:tr w:rsidR="00CB252F" w:rsidRPr="00CB252F" w14:paraId="2CB0A6C4" w14:textId="77777777" w:rsidTr="00CB252F">
        <w:trPr>
          <w:tblCellSpacing w:w="15" w:type="dxa"/>
        </w:trPr>
        <w:tc>
          <w:tcPr>
            <w:tcW w:w="1305" w:type="dxa"/>
            <w:vAlign w:val="center"/>
            <w:hideMark/>
          </w:tcPr>
          <w:p w14:paraId="7FA0D758"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Recital 65</w:t>
            </w:r>
          </w:p>
        </w:tc>
        <w:tc>
          <w:tcPr>
            <w:tcW w:w="6522" w:type="dxa"/>
            <w:vAlign w:val="center"/>
            <w:hideMark/>
          </w:tcPr>
          <w:p w14:paraId="58723EA8"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Mentions the right to erasure (“right to be forgotten”) and specifies that data should not be retained longer than necessary.</w:t>
            </w:r>
          </w:p>
        </w:tc>
        <w:tc>
          <w:tcPr>
            <w:tcW w:w="0" w:type="auto"/>
            <w:vAlign w:val="center"/>
            <w:hideMark/>
          </w:tcPr>
          <w:p w14:paraId="31DAA9CB"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Provides substantive enforcement link.</w:t>
            </w:r>
          </w:p>
        </w:tc>
      </w:tr>
      <w:tr w:rsidR="00CB252F" w:rsidRPr="00CB252F" w14:paraId="0CE70558" w14:textId="77777777" w:rsidTr="00CB252F">
        <w:trPr>
          <w:tblCellSpacing w:w="15" w:type="dxa"/>
        </w:trPr>
        <w:tc>
          <w:tcPr>
            <w:tcW w:w="1305" w:type="dxa"/>
            <w:vAlign w:val="center"/>
            <w:hideMark/>
          </w:tcPr>
          <w:p w14:paraId="0FFA74C3"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Recital 156</w:t>
            </w:r>
          </w:p>
        </w:tc>
        <w:tc>
          <w:tcPr>
            <w:tcW w:w="6522" w:type="dxa"/>
            <w:vAlign w:val="center"/>
            <w:hideMark/>
          </w:tcPr>
          <w:p w14:paraId="165E223A"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Refers to processing for archiving in the public interest, scientific, historical, or statistical purposes — explaining the lawful exception under Article 89(1).</w:t>
            </w:r>
          </w:p>
        </w:tc>
        <w:tc>
          <w:tcPr>
            <w:tcW w:w="0" w:type="auto"/>
            <w:vAlign w:val="center"/>
            <w:hideMark/>
          </w:tcPr>
          <w:p w14:paraId="3453C631"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Directly linked to the exception clause in Article 5(1)(e).</w:t>
            </w:r>
          </w:p>
        </w:tc>
      </w:tr>
    </w:tbl>
    <w:p w14:paraId="15C4B5A5" w14:textId="77777777" w:rsidR="00CB252F" w:rsidRPr="00CB252F" w:rsidRDefault="00D620E8" w:rsidP="00CB252F">
      <w:pPr>
        <w:spacing w:after="0" w:line="240" w:lineRule="auto"/>
        <w:rPr>
          <w:rFonts w:ascii="Times New Roman" w:eastAsia="Times New Roman" w:hAnsi="Times New Roman" w:cs="Times New Roman"/>
          <w:kern w:val="0"/>
          <w14:ligatures w14:val="none"/>
        </w:rPr>
      </w:pPr>
      <w:r w:rsidRPr="00D620E8">
        <w:rPr>
          <w:rFonts w:ascii="Times New Roman" w:eastAsia="Times New Roman" w:hAnsi="Times New Roman" w:cs="Times New Roman"/>
          <w:noProof/>
          <w:kern w:val="0"/>
        </w:rPr>
        <w:pict w14:anchorId="477B1689">
          <v:rect id="_x0000_i1029" alt="" style="width:468pt;height:.05pt;mso-width-percent:0;mso-height-percent:0;mso-width-percent:0;mso-height-percent:0" o:hralign="center" o:hrstd="t" o:hr="t" fillcolor="#a0a0a0" stroked="f"/>
        </w:pict>
      </w:r>
    </w:p>
    <w:p w14:paraId="36794905" w14:textId="77777777" w:rsidR="00CB252F" w:rsidRP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STEP 2. Identify Related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9306"/>
      </w:tblGrid>
      <w:tr w:rsidR="00CB252F" w:rsidRPr="00CB252F" w14:paraId="6BD2F3AB" w14:textId="77777777">
        <w:trPr>
          <w:tblHeader/>
          <w:tblCellSpacing w:w="15" w:type="dxa"/>
        </w:trPr>
        <w:tc>
          <w:tcPr>
            <w:tcW w:w="0" w:type="auto"/>
            <w:vAlign w:val="center"/>
            <w:hideMark/>
          </w:tcPr>
          <w:p w14:paraId="65F302A1" w14:textId="77777777" w:rsidR="00CB252F" w:rsidRPr="00CB252F" w:rsidRDefault="00CB252F" w:rsidP="00CB252F">
            <w:pPr>
              <w:spacing w:after="0" w:line="240" w:lineRule="auto"/>
              <w:jc w:val="center"/>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Related Article</w:t>
            </w:r>
          </w:p>
        </w:tc>
        <w:tc>
          <w:tcPr>
            <w:tcW w:w="0" w:type="auto"/>
            <w:vAlign w:val="center"/>
            <w:hideMark/>
          </w:tcPr>
          <w:p w14:paraId="36B8D512" w14:textId="77777777" w:rsidR="00CB252F" w:rsidRPr="00CB252F" w:rsidRDefault="00CB252F" w:rsidP="00CB252F">
            <w:pPr>
              <w:spacing w:after="0" w:line="240" w:lineRule="auto"/>
              <w:jc w:val="center"/>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Connection</w:t>
            </w:r>
          </w:p>
        </w:tc>
      </w:tr>
      <w:tr w:rsidR="00CB252F" w:rsidRPr="00CB252F" w14:paraId="02BCF788" w14:textId="77777777">
        <w:trPr>
          <w:tblCellSpacing w:w="15" w:type="dxa"/>
        </w:trPr>
        <w:tc>
          <w:tcPr>
            <w:tcW w:w="0" w:type="auto"/>
            <w:vAlign w:val="center"/>
            <w:hideMark/>
          </w:tcPr>
          <w:p w14:paraId="16DAE90D"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Article 6(1)</w:t>
            </w:r>
          </w:p>
        </w:tc>
        <w:tc>
          <w:tcPr>
            <w:tcW w:w="0" w:type="auto"/>
            <w:vAlign w:val="center"/>
            <w:hideMark/>
          </w:tcPr>
          <w:p w14:paraId="672B49D9"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Defines lawful bases for processing — duration must be necessary for that lawful purpose.</w:t>
            </w:r>
          </w:p>
        </w:tc>
      </w:tr>
      <w:tr w:rsidR="00CB252F" w:rsidRPr="00CB252F" w14:paraId="167F2AB3" w14:textId="77777777">
        <w:trPr>
          <w:tblCellSpacing w:w="15" w:type="dxa"/>
        </w:trPr>
        <w:tc>
          <w:tcPr>
            <w:tcW w:w="0" w:type="auto"/>
            <w:vAlign w:val="center"/>
            <w:hideMark/>
          </w:tcPr>
          <w:p w14:paraId="2670CCE3"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Article 9(2)(j)</w:t>
            </w:r>
          </w:p>
        </w:tc>
        <w:tc>
          <w:tcPr>
            <w:tcW w:w="0" w:type="auto"/>
            <w:vAlign w:val="center"/>
            <w:hideMark/>
          </w:tcPr>
          <w:p w14:paraId="5070E7F3"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Relates to special categories of data processed for scientific/historical/statistical purposes, under Article 89(1).</w:t>
            </w:r>
          </w:p>
        </w:tc>
      </w:tr>
      <w:tr w:rsidR="00CB252F" w:rsidRPr="00CB252F" w14:paraId="1E9C1B3A" w14:textId="77777777">
        <w:trPr>
          <w:tblCellSpacing w:w="15" w:type="dxa"/>
        </w:trPr>
        <w:tc>
          <w:tcPr>
            <w:tcW w:w="0" w:type="auto"/>
            <w:vAlign w:val="center"/>
            <w:hideMark/>
          </w:tcPr>
          <w:p w14:paraId="2795CB34"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Article 17</w:t>
            </w:r>
          </w:p>
        </w:tc>
        <w:tc>
          <w:tcPr>
            <w:tcW w:w="0" w:type="auto"/>
            <w:vAlign w:val="center"/>
            <w:hideMark/>
          </w:tcPr>
          <w:p w14:paraId="38A149E1"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Provides the right to erasure when data are no longer necessary — operationalizing the storage limitation.</w:t>
            </w:r>
          </w:p>
        </w:tc>
      </w:tr>
      <w:tr w:rsidR="00CB252F" w:rsidRPr="00CB252F" w14:paraId="3954B910" w14:textId="77777777">
        <w:trPr>
          <w:tblCellSpacing w:w="15" w:type="dxa"/>
        </w:trPr>
        <w:tc>
          <w:tcPr>
            <w:tcW w:w="0" w:type="auto"/>
            <w:vAlign w:val="center"/>
            <w:hideMark/>
          </w:tcPr>
          <w:p w14:paraId="65CD356B"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Article 25</w:t>
            </w:r>
          </w:p>
        </w:tc>
        <w:tc>
          <w:tcPr>
            <w:tcW w:w="0" w:type="auto"/>
            <w:vAlign w:val="center"/>
            <w:hideMark/>
          </w:tcPr>
          <w:p w14:paraId="0C87304D"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Data protection by design and by default — implies ensuring automatic data deletion or minimization.</w:t>
            </w:r>
          </w:p>
        </w:tc>
      </w:tr>
      <w:tr w:rsidR="00CB252F" w:rsidRPr="00CB252F" w14:paraId="75540646" w14:textId="77777777">
        <w:trPr>
          <w:tblCellSpacing w:w="15" w:type="dxa"/>
        </w:trPr>
        <w:tc>
          <w:tcPr>
            <w:tcW w:w="0" w:type="auto"/>
            <w:vAlign w:val="center"/>
            <w:hideMark/>
          </w:tcPr>
          <w:p w14:paraId="024C7268"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Article 89(1)</w:t>
            </w:r>
          </w:p>
        </w:tc>
        <w:tc>
          <w:tcPr>
            <w:tcW w:w="0" w:type="auto"/>
            <w:vAlign w:val="center"/>
            <w:hideMark/>
          </w:tcPr>
          <w:p w14:paraId="49CDC038"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Provides safeguards for data kept longer for archiving, research, or statistical purposes.</w:t>
            </w:r>
          </w:p>
        </w:tc>
      </w:tr>
      <w:tr w:rsidR="00CB252F" w:rsidRPr="00CB252F" w14:paraId="16C89CB9" w14:textId="77777777">
        <w:trPr>
          <w:tblCellSpacing w:w="15" w:type="dxa"/>
        </w:trPr>
        <w:tc>
          <w:tcPr>
            <w:tcW w:w="0" w:type="auto"/>
            <w:vAlign w:val="center"/>
            <w:hideMark/>
          </w:tcPr>
          <w:p w14:paraId="3381ABC8"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Article 30(1)(f)</w:t>
            </w:r>
          </w:p>
        </w:tc>
        <w:tc>
          <w:tcPr>
            <w:tcW w:w="0" w:type="auto"/>
            <w:vAlign w:val="center"/>
            <w:hideMark/>
          </w:tcPr>
          <w:p w14:paraId="10A7F758" w14:textId="77777777" w:rsidR="00CB252F" w:rsidRPr="00CB252F" w:rsidRDefault="00CB252F" w:rsidP="00CB252F">
            <w:pPr>
              <w:spacing w:after="0"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Requires controllers to include retention periods in their records of processing.</w:t>
            </w:r>
          </w:p>
        </w:tc>
      </w:tr>
    </w:tbl>
    <w:p w14:paraId="29313010" w14:textId="77777777" w:rsidR="00CB252F" w:rsidRPr="00CB252F" w:rsidRDefault="00D620E8" w:rsidP="00CB252F">
      <w:pPr>
        <w:spacing w:after="0" w:line="240" w:lineRule="auto"/>
        <w:rPr>
          <w:rFonts w:ascii="Times New Roman" w:eastAsia="Times New Roman" w:hAnsi="Times New Roman" w:cs="Times New Roman"/>
          <w:kern w:val="0"/>
          <w14:ligatures w14:val="none"/>
        </w:rPr>
      </w:pPr>
      <w:r w:rsidRPr="00D620E8">
        <w:rPr>
          <w:rFonts w:ascii="Times New Roman" w:eastAsia="Times New Roman" w:hAnsi="Times New Roman" w:cs="Times New Roman"/>
          <w:noProof/>
          <w:kern w:val="0"/>
        </w:rPr>
        <w:pict w14:anchorId="1E4DEEC4">
          <v:rect id="_x0000_i1028" alt="" style="width:468pt;height:.05pt;mso-width-percent:0;mso-height-percent:0;mso-width-percent:0;mso-height-percent:0" o:hralign="center" o:hrstd="t" o:hr="t" fillcolor="#a0a0a0" stroked="f"/>
        </w:pict>
      </w:r>
    </w:p>
    <w:p w14:paraId="4D249FC0" w14:textId="77777777" w:rsid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1B57B66" w14:textId="77777777" w:rsid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1BB7193C" w14:textId="77777777" w:rsid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28D108F" w14:textId="77777777" w:rsid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03F2EA2" w14:textId="77777777" w:rsid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72545BD" w14:textId="77777777" w:rsid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F0D9AE5" w14:textId="72ECF2A3" w:rsidR="00CB252F" w:rsidRP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lastRenderedPageBreak/>
        <w:t>STEP 3. Construct a Detailed Legal Rule (Integrating Recitals and Articles)</w:t>
      </w:r>
    </w:p>
    <w:p w14:paraId="27FC2F2A"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Personal data shall be retained only for as long as necessary for the purposes for which it was collected and processed, in accordance with the principle of storage limitation under Article 5(1)(e) GDPR.</w:t>
      </w:r>
      <w:r w:rsidRPr="00CB252F">
        <w:rPr>
          <w:rFonts w:ascii="Times New Roman" w:eastAsia="Times New Roman" w:hAnsi="Times New Roman" w:cs="Times New Roman"/>
          <w:kern w:val="0"/>
          <w14:ligatures w14:val="none"/>
        </w:rPr>
        <w:br/>
        <w:t>Controllers must establish time limits for erasure or periodic review, ensuring that retention duration corresponds to the necessity and proportionality principles outlined in Recital 39 and Articles 5(1)(a), 6(1), and 25.</w:t>
      </w:r>
    </w:p>
    <w:p w14:paraId="10AA2E49"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Where processing continues solely for </w:t>
      </w:r>
      <w:r w:rsidRPr="00CB252F">
        <w:rPr>
          <w:rFonts w:ascii="Times New Roman" w:eastAsia="Times New Roman" w:hAnsi="Times New Roman" w:cs="Times New Roman"/>
          <w:b/>
          <w:bCs/>
          <w:kern w:val="0"/>
          <w14:ligatures w14:val="none"/>
        </w:rPr>
        <w:t>archiving in the public interest, scientific or historical research purposes, or statistical purposes</w:t>
      </w:r>
      <w:r w:rsidRPr="00CB252F">
        <w:rPr>
          <w:rFonts w:ascii="Times New Roman" w:eastAsia="Times New Roman" w:hAnsi="Times New Roman" w:cs="Times New Roman"/>
          <w:kern w:val="0"/>
          <w14:ligatures w14:val="none"/>
        </w:rPr>
        <w:t xml:space="preserve">, retention beyond the original purpose is lawful </w:t>
      </w:r>
      <w:r w:rsidRPr="00CB252F">
        <w:rPr>
          <w:rFonts w:ascii="Times New Roman" w:eastAsia="Times New Roman" w:hAnsi="Times New Roman" w:cs="Times New Roman"/>
          <w:b/>
          <w:bCs/>
          <w:kern w:val="0"/>
          <w14:ligatures w14:val="none"/>
        </w:rPr>
        <w:t>only if</w:t>
      </w:r>
      <w:r w:rsidRPr="00CB252F">
        <w:rPr>
          <w:rFonts w:ascii="Times New Roman" w:eastAsia="Times New Roman" w:hAnsi="Times New Roman" w:cs="Times New Roman"/>
          <w:kern w:val="0"/>
          <w14:ligatures w14:val="none"/>
        </w:rPr>
        <w:t xml:space="preserve"> it complies with Article 89(1), ensuring the implementation of appropriate </w:t>
      </w:r>
      <w:r w:rsidRPr="00CB252F">
        <w:rPr>
          <w:rFonts w:ascii="Times New Roman" w:eastAsia="Times New Roman" w:hAnsi="Times New Roman" w:cs="Times New Roman"/>
          <w:b/>
          <w:bCs/>
          <w:kern w:val="0"/>
          <w14:ligatures w14:val="none"/>
        </w:rPr>
        <w:t>technical and organisational measures</w:t>
      </w:r>
      <w:r w:rsidRPr="00CB252F">
        <w:rPr>
          <w:rFonts w:ascii="Times New Roman" w:eastAsia="Times New Roman" w:hAnsi="Times New Roman" w:cs="Times New Roman"/>
          <w:kern w:val="0"/>
          <w14:ligatures w14:val="none"/>
        </w:rPr>
        <w:t xml:space="preserve"> (e.g., pseudonymisation, data minimisation) that safeguard the rights and freedoms of data subjects.</w:t>
      </w:r>
    </w:p>
    <w:p w14:paraId="6BBE59B1"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When the purpose of processing no longer applies, or the data are no longer necessary, </w:t>
      </w:r>
      <w:r w:rsidRPr="00CB252F">
        <w:rPr>
          <w:rFonts w:ascii="Times New Roman" w:eastAsia="Times New Roman" w:hAnsi="Times New Roman" w:cs="Times New Roman"/>
          <w:b/>
          <w:bCs/>
          <w:kern w:val="0"/>
          <w14:ligatures w14:val="none"/>
        </w:rPr>
        <w:t>Article 17</w:t>
      </w:r>
      <w:r w:rsidRPr="00CB252F">
        <w:rPr>
          <w:rFonts w:ascii="Times New Roman" w:eastAsia="Times New Roman" w:hAnsi="Times New Roman" w:cs="Times New Roman"/>
          <w:kern w:val="0"/>
          <w14:ligatures w14:val="none"/>
        </w:rPr>
        <w:t xml:space="preserve"> requires their erasure.</w:t>
      </w:r>
    </w:p>
    <w:p w14:paraId="0083DDD4"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Controllers must also record retention periods (Article 30(1)(f)) and integrate deletion mechanisms as part of </w:t>
      </w:r>
      <w:r w:rsidRPr="00CB252F">
        <w:rPr>
          <w:rFonts w:ascii="Times New Roman" w:eastAsia="Times New Roman" w:hAnsi="Times New Roman" w:cs="Times New Roman"/>
          <w:b/>
          <w:bCs/>
          <w:kern w:val="0"/>
          <w14:ligatures w14:val="none"/>
        </w:rPr>
        <w:t>data protection by design and by default</w:t>
      </w:r>
      <w:r w:rsidRPr="00CB252F">
        <w:rPr>
          <w:rFonts w:ascii="Times New Roman" w:eastAsia="Times New Roman" w:hAnsi="Times New Roman" w:cs="Times New Roman"/>
          <w:kern w:val="0"/>
          <w14:ligatures w14:val="none"/>
        </w:rPr>
        <w:t xml:space="preserve"> (Article 25).</w:t>
      </w:r>
    </w:p>
    <w:p w14:paraId="5DE1D186" w14:textId="77777777" w:rsidR="00CB252F" w:rsidRPr="00CB252F" w:rsidRDefault="00D620E8" w:rsidP="00CB252F">
      <w:pPr>
        <w:spacing w:after="0" w:line="240" w:lineRule="auto"/>
        <w:rPr>
          <w:rFonts w:ascii="Times New Roman" w:eastAsia="Times New Roman" w:hAnsi="Times New Roman" w:cs="Times New Roman"/>
          <w:kern w:val="0"/>
          <w14:ligatures w14:val="none"/>
        </w:rPr>
      </w:pPr>
      <w:r w:rsidRPr="00D620E8">
        <w:rPr>
          <w:rFonts w:ascii="Times New Roman" w:eastAsia="Times New Roman" w:hAnsi="Times New Roman" w:cs="Times New Roman"/>
          <w:noProof/>
          <w:kern w:val="0"/>
        </w:rPr>
        <w:pict w14:anchorId="07B86D76">
          <v:rect id="_x0000_i1027" alt="" style="width:468pt;height:.05pt;mso-width-percent:0;mso-height-percent:0;mso-width-percent:0;mso-height-percent:0" o:hralign="center" o:hrstd="t" o:hr="t" fillcolor="#a0a0a0" stroked="f"/>
        </w:pict>
      </w:r>
    </w:p>
    <w:p w14:paraId="3B2FF4C5" w14:textId="77777777" w:rsidR="00CB252F" w:rsidRPr="00CB252F" w:rsidRDefault="00CB252F" w:rsidP="00CB252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B252F">
        <w:rPr>
          <w:rFonts w:ascii="Times New Roman" w:eastAsia="Times New Roman" w:hAnsi="Times New Roman" w:cs="Times New Roman"/>
          <w:b/>
          <w:bCs/>
          <w:kern w:val="0"/>
          <w14:ligatures w14:val="none"/>
        </w:rPr>
        <w:t>STEP 4. Logical Structure (Rule Format)</w:t>
      </w:r>
    </w:p>
    <w:p w14:paraId="39CE0EDF"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Conclusion:</w:t>
      </w:r>
      <w:r w:rsidRPr="00CB252F">
        <w:rPr>
          <w:rFonts w:ascii="Times New Roman" w:eastAsia="Times New Roman" w:hAnsi="Times New Roman" w:cs="Times New Roman"/>
          <w:kern w:val="0"/>
          <w14:ligatures w14:val="none"/>
        </w:rPr>
        <w:br/>
        <w:t xml:space="preserve">Personal data retention beyond necessity is </w:t>
      </w:r>
      <w:r w:rsidRPr="00CB252F">
        <w:rPr>
          <w:rFonts w:ascii="Times New Roman" w:eastAsia="Times New Roman" w:hAnsi="Times New Roman" w:cs="Times New Roman"/>
          <w:b/>
          <w:bCs/>
          <w:kern w:val="0"/>
          <w14:ligatures w14:val="none"/>
        </w:rPr>
        <w:t>unlawful</w:t>
      </w:r>
      <w:r w:rsidRPr="00CB252F">
        <w:rPr>
          <w:rFonts w:ascii="Times New Roman" w:eastAsia="Times New Roman" w:hAnsi="Times New Roman" w:cs="Times New Roman"/>
          <w:kern w:val="0"/>
          <w14:ligatures w14:val="none"/>
        </w:rPr>
        <w:t>, unless it falls under archiving, research, or statistical purposes in compliance with Article 89(1).</w:t>
      </w:r>
    </w:p>
    <w:p w14:paraId="311D4AAB" w14:textId="77777777" w:rsidR="00CB252F" w:rsidRPr="00CB252F" w:rsidRDefault="00D620E8" w:rsidP="00CB252F">
      <w:pPr>
        <w:spacing w:after="0" w:line="240" w:lineRule="auto"/>
        <w:rPr>
          <w:rFonts w:ascii="Times New Roman" w:eastAsia="Times New Roman" w:hAnsi="Times New Roman" w:cs="Times New Roman"/>
          <w:kern w:val="0"/>
          <w14:ligatures w14:val="none"/>
        </w:rPr>
      </w:pPr>
      <w:r w:rsidRPr="00D620E8">
        <w:rPr>
          <w:rFonts w:ascii="Times New Roman" w:eastAsia="Times New Roman" w:hAnsi="Times New Roman" w:cs="Times New Roman"/>
          <w:noProof/>
          <w:kern w:val="0"/>
        </w:rPr>
        <w:pict w14:anchorId="1B8B0D73">
          <v:rect id="_x0000_i1026" alt="" style="width:468pt;height:.05pt;mso-width-percent:0;mso-height-percent:0;mso-width-percent:0;mso-height-percent:0" o:hralign="center" o:hrstd="t" o:hr="t" fillcolor="#a0a0a0" stroked="f"/>
        </w:pict>
      </w:r>
    </w:p>
    <w:p w14:paraId="4BC64ACD"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IF</w:t>
      </w:r>
    </w:p>
    <w:p w14:paraId="11307BA8" w14:textId="77777777" w:rsidR="00CB252F" w:rsidRPr="00CB252F" w:rsidRDefault="00CB252F" w:rsidP="00CB25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Personal data are kept </w:t>
      </w:r>
      <w:r w:rsidRPr="00CB252F">
        <w:rPr>
          <w:rFonts w:ascii="Times New Roman" w:eastAsia="Times New Roman" w:hAnsi="Times New Roman" w:cs="Times New Roman"/>
          <w:b/>
          <w:bCs/>
          <w:kern w:val="0"/>
          <w14:ligatures w14:val="none"/>
        </w:rPr>
        <w:t>no longer than necessary</w:t>
      </w:r>
      <w:r w:rsidRPr="00CB252F">
        <w:rPr>
          <w:rFonts w:ascii="Times New Roman" w:eastAsia="Times New Roman" w:hAnsi="Times New Roman" w:cs="Times New Roman"/>
          <w:kern w:val="0"/>
          <w14:ligatures w14:val="none"/>
        </w:rPr>
        <w:t xml:space="preserve"> for the purposes of processing,</w:t>
      </w:r>
      <w:r w:rsidRPr="00CB252F">
        <w:rPr>
          <w:rFonts w:ascii="Times New Roman" w:eastAsia="Times New Roman" w:hAnsi="Times New Roman" w:cs="Times New Roman"/>
          <w:kern w:val="0"/>
          <w14:ligatures w14:val="none"/>
        </w:rPr>
        <w:br/>
      </w:r>
      <w:r w:rsidRPr="00CB252F">
        <w:rPr>
          <w:rFonts w:ascii="Times New Roman" w:eastAsia="Times New Roman" w:hAnsi="Times New Roman" w:cs="Times New Roman"/>
          <w:b/>
          <w:bCs/>
          <w:kern w:val="0"/>
          <w14:ligatures w14:val="none"/>
        </w:rPr>
        <w:t>AND</w:t>
      </w:r>
    </w:p>
    <w:p w14:paraId="0C04A610" w14:textId="77777777" w:rsidR="00CB252F" w:rsidRPr="00CB252F" w:rsidRDefault="00CB252F" w:rsidP="00CB25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The controller has defined time limits for deletion or periodic review,</w:t>
      </w:r>
      <w:r w:rsidRPr="00CB252F">
        <w:rPr>
          <w:rFonts w:ascii="Times New Roman" w:eastAsia="Times New Roman" w:hAnsi="Times New Roman" w:cs="Times New Roman"/>
          <w:kern w:val="0"/>
          <w14:ligatures w14:val="none"/>
        </w:rPr>
        <w:br/>
      </w:r>
      <w:r w:rsidRPr="00CB252F">
        <w:rPr>
          <w:rFonts w:ascii="Times New Roman" w:eastAsia="Times New Roman" w:hAnsi="Times New Roman" w:cs="Times New Roman"/>
          <w:b/>
          <w:bCs/>
          <w:kern w:val="0"/>
          <w14:ligatures w14:val="none"/>
        </w:rPr>
        <w:t>AND</w:t>
      </w:r>
    </w:p>
    <w:p w14:paraId="296378F9" w14:textId="77777777" w:rsidR="00CB252F" w:rsidRPr="00CB252F" w:rsidRDefault="00CB252F" w:rsidP="00CB25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Where data are stored longer, it is </w:t>
      </w:r>
      <w:r w:rsidRPr="00CB252F">
        <w:rPr>
          <w:rFonts w:ascii="Times New Roman" w:eastAsia="Times New Roman" w:hAnsi="Times New Roman" w:cs="Times New Roman"/>
          <w:b/>
          <w:bCs/>
          <w:kern w:val="0"/>
          <w14:ligatures w14:val="none"/>
        </w:rPr>
        <w:t>solely</w:t>
      </w:r>
      <w:r w:rsidRPr="00CB252F">
        <w:rPr>
          <w:rFonts w:ascii="Times New Roman" w:eastAsia="Times New Roman" w:hAnsi="Times New Roman" w:cs="Times New Roman"/>
          <w:kern w:val="0"/>
          <w14:ligatures w14:val="none"/>
        </w:rPr>
        <w:t xml:space="preserve"> for archiving, research, or statistical purposes,</w:t>
      </w:r>
      <w:r w:rsidRPr="00CB252F">
        <w:rPr>
          <w:rFonts w:ascii="Times New Roman" w:eastAsia="Times New Roman" w:hAnsi="Times New Roman" w:cs="Times New Roman"/>
          <w:kern w:val="0"/>
          <w14:ligatures w14:val="none"/>
        </w:rPr>
        <w:br/>
      </w:r>
      <w:r w:rsidRPr="00CB252F">
        <w:rPr>
          <w:rFonts w:ascii="Times New Roman" w:eastAsia="Times New Roman" w:hAnsi="Times New Roman" w:cs="Times New Roman"/>
          <w:b/>
          <w:bCs/>
          <w:kern w:val="0"/>
          <w14:ligatures w14:val="none"/>
        </w:rPr>
        <w:t>AND</w:t>
      </w:r>
    </w:p>
    <w:p w14:paraId="6824B508" w14:textId="77777777" w:rsidR="00CB252F" w:rsidRPr="00CB252F" w:rsidRDefault="00CB252F" w:rsidP="00CB25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Appropriate safeguards (technical and organisational) under Article 89(1) are implemented,</w:t>
      </w:r>
    </w:p>
    <w:p w14:paraId="6341E62C"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THEN</w:t>
      </w:r>
      <w:r w:rsidRPr="00CB252F">
        <w:rPr>
          <w:rFonts w:ascii="Times New Roman" w:eastAsia="Times New Roman" w:hAnsi="Times New Roman" w:cs="Times New Roman"/>
          <w:kern w:val="0"/>
          <w14:ligatures w14:val="none"/>
        </w:rPr>
        <w:br/>
        <w:t xml:space="preserve">→ The retention of data is </w:t>
      </w:r>
      <w:r w:rsidRPr="00CB252F">
        <w:rPr>
          <w:rFonts w:ascii="Times New Roman" w:eastAsia="Times New Roman" w:hAnsi="Times New Roman" w:cs="Times New Roman"/>
          <w:b/>
          <w:bCs/>
          <w:kern w:val="0"/>
          <w14:ligatures w14:val="none"/>
        </w:rPr>
        <w:t>lawful</w:t>
      </w:r>
      <w:r w:rsidRPr="00CB252F">
        <w:rPr>
          <w:rFonts w:ascii="Times New Roman" w:eastAsia="Times New Roman" w:hAnsi="Times New Roman" w:cs="Times New Roman"/>
          <w:kern w:val="0"/>
          <w14:ligatures w14:val="none"/>
        </w:rPr>
        <w:t xml:space="preserve"> under Article 5(1)(e) GDPR.</w:t>
      </w:r>
    </w:p>
    <w:p w14:paraId="7227FFE5" w14:textId="77777777" w:rsidR="00CB252F" w:rsidRPr="00CB252F" w:rsidRDefault="00D620E8" w:rsidP="00CB252F">
      <w:pPr>
        <w:spacing w:after="0" w:line="240" w:lineRule="auto"/>
        <w:rPr>
          <w:rFonts w:ascii="Times New Roman" w:eastAsia="Times New Roman" w:hAnsi="Times New Roman" w:cs="Times New Roman"/>
          <w:kern w:val="0"/>
          <w14:ligatures w14:val="none"/>
        </w:rPr>
      </w:pPr>
      <w:r w:rsidRPr="00D620E8">
        <w:rPr>
          <w:rFonts w:ascii="Times New Roman" w:eastAsia="Times New Roman" w:hAnsi="Times New Roman" w:cs="Times New Roman"/>
          <w:noProof/>
          <w:kern w:val="0"/>
        </w:rPr>
        <w:pict w14:anchorId="270A5CB4">
          <v:rect id="_x0000_i1025" alt="" style="width:468pt;height:.05pt;mso-width-percent:0;mso-height-percent:0;mso-width-percent:0;mso-height-percent:0" o:hralign="center" o:hrstd="t" o:hr="t" fillcolor="#a0a0a0" stroked="f"/>
        </w:pict>
      </w:r>
    </w:p>
    <w:p w14:paraId="0390F333" w14:textId="77777777" w:rsidR="00CB252F" w:rsidRPr="00CB252F" w:rsidRDefault="00CB252F" w:rsidP="00CB252F">
      <w:p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b/>
          <w:bCs/>
          <w:kern w:val="0"/>
          <w14:ligatures w14:val="none"/>
        </w:rPr>
        <w:t>Exceptions to the rule:</w:t>
      </w:r>
    </w:p>
    <w:p w14:paraId="6ACE9A81" w14:textId="77777777" w:rsidR="00CB252F" w:rsidRPr="00CB252F" w:rsidRDefault="00CB252F" w:rsidP="00CB25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If the data subject exercises the </w:t>
      </w:r>
      <w:r w:rsidRPr="00CB252F">
        <w:rPr>
          <w:rFonts w:ascii="Times New Roman" w:eastAsia="Times New Roman" w:hAnsi="Times New Roman" w:cs="Times New Roman"/>
          <w:b/>
          <w:bCs/>
          <w:kern w:val="0"/>
          <w14:ligatures w14:val="none"/>
        </w:rPr>
        <w:t>right to erasure (Article 17)</w:t>
      </w:r>
      <w:r w:rsidRPr="00CB252F">
        <w:rPr>
          <w:rFonts w:ascii="Times New Roman" w:eastAsia="Times New Roman" w:hAnsi="Times New Roman" w:cs="Times New Roman"/>
          <w:kern w:val="0"/>
          <w14:ligatures w14:val="none"/>
        </w:rPr>
        <w:t xml:space="preserve"> and no lawful retention exception applies, continued retention becomes unlawful.</w:t>
      </w:r>
    </w:p>
    <w:p w14:paraId="130A42CC" w14:textId="77777777" w:rsidR="00CB252F" w:rsidRPr="00CB252F" w:rsidRDefault="00CB252F" w:rsidP="00CB25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Processing special category data without safeguards under </w:t>
      </w:r>
      <w:r w:rsidRPr="00CB252F">
        <w:rPr>
          <w:rFonts w:ascii="Times New Roman" w:eastAsia="Times New Roman" w:hAnsi="Times New Roman" w:cs="Times New Roman"/>
          <w:b/>
          <w:bCs/>
          <w:kern w:val="0"/>
          <w14:ligatures w14:val="none"/>
        </w:rPr>
        <w:t>Article 9(2)(j)</w:t>
      </w:r>
      <w:r w:rsidRPr="00CB252F">
        <w:rPr>
          <w:rFonts w:ascii="Times New Roman" w:eastAsia="Times New Roman" w:hAnsi="Times New Roman" w:cs="Times New Roman"/>
          <w:kern w:val="0"/>
          <w14:ligatures w14:val="none"/>
        </w:rPr>
        <w:t xml:space="preserve"> is unlawful.</w:t>
      </w:r>
    </w:p>
    <w:p w14:paraId="0BB15039" w14:textId="77777777" w:rsidR="00CB252F" w:rsidRPr="00CB252F" w:rsidRDefault="00CB252F" w:rsidP="00CB25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B252F">
        <w:rPr>
          <w:rFonts w:ascii="Times New Roman" w:eastAsia="Times New Roman" w:hAnsi="Times New Roman" w:cs="Times New Roman"/>
          <w:kern w:val="0"/>
          <w14:ligatures w14:val="none"/>
        </w:rPr>
        <w:t xml:space="preserve">Lack of measures under </w:t>
      </w:r>
      <w:r w:rsidRPr="00CB252F">
        <w:rPr>
          <w:rFonts w:ascii="Times New Roman" w:eastAsia="Times New Roman" w:hAnsi="Times New Roman" w:cs="Times New Roman"/>
          <w:b/>
          <w:bCs/>
          <w:kern w:val="0"/>
          <w14:ligatures w14:val="none"/>
        </w:rPr>
        <w:t>Article 25</w:t>
      </w:r>
      <w:r w:rsidRPr="00CB252F">
        <w:rPr>
          <w:rFonts w:ascii="Times New Roman" w:eastAsia="Times New Roman" w:hAnsi="Times New Roman" w:cs="Times New Roman"/>
          <w:kern w:val="0"/>
          <w14:ligatures w14:val="none"/>
        </w:rPr>
        <w:t xml:space="preserve"> (data protection by design) may invalidate lawful retention.</w:t>
      </w:r>
    </w:p>
    <w:p w14:paraId="0477CF0E" w14:textId="77777777" w:rsidR="00CB252F" w:rsidRPr="00CB252F" w:rsidRDefault="00CB252F" w:rsidP="00F63D29">
      <w:pPr>
        <w:spacing w:after="0" w:line="240" w:lineRule="auto"/>
        <w:rPr>
          <w:rFonts w:ascii="Times New Roman" w:hAnsi="Times New Roman" w:cs="Times New Roman"/>
          <w:b/>
          <w:bCs/>
          <w:u w:val="single"/>
        </w:rPr>
      </w:pPr>
    </w:p>
    <w:sectPr w:rsidR="00CB252F" w:rsidRPr="00CB252F" w:rsidSect="00F63D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C09"/>
    <w:multiLevelType w:val="multilevel"/>
    <w:tmpl w:val="510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675A"/>
    <w:multiLevelType w:val="multilevel"/>
    <w:tmpl w:val="771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E224D"/>
    <w:multiLevelType w:val="multilevel"/>
    <w:tmpl w:val="314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3A0B"/>
    <w:multiLevelType w:val="multilevel"/>
    <w:tmpl w:val="F6D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73570"/>
    <w:multiLevelType w:val="multilevel"/>
    <w:tmpl w:val="90D6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47589"/>
    <w:multiLevelType w:val="multilevel"/>
    <w:tmpl w:val="93800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30F16"/>
    <w:multiLevelType w:val="multilevel"/>
    <w:tmpl w:val="EC7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1711"/>
    <w:multiLevelType w:val="multilevel"/>
    <w:tmpl w:val="3A5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22E4C"/>
    <w:multiLevelType w:val="multilevel"/>
    <w:tmpl w:val="B9D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81C1D"/>
    <w:multiLevelType w:val="multilevel"/>
    <w:tmpl w:val="991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B1BB1"/>
    <w:multiLevelType w:val="multilevel"/>
    <w:tmpl w:val="192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047F3"/>
    <w:multiLevelType w:val="multilevel"/>
    <w:tmpl w:val="14D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35099"/>
    <w:multiLevelType w:val="multilevel"/>
    <w:tmpl w:val="AD36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142ACB"/>
    <w:multiLevelType w:val="multilevel"/>
    <w:tmpl w:val="ABFA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C5D9B"/>
    <w:multiLevelType w:val="multilevel"/>
    <w:tmpl w:val="BAF03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182EA5"/>
    <w:multiLevelType w:val="multilevel"/>
    <w:tmpl w:val="3B3A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1061D"/>
    <w:multiLevelType w:val="multilevel"/>
    <w:tmpl w:val="507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32A05"/>
    <w:multiLevelType w:val="multilevel"/>
    <w:tmpl w:val="6B9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B7CB2"/>
    <w:multiLevelType w:val="multilevel"/>
    <w:tmpl w:val="065E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175CBB"/>
    <w:multiLevelType w:val="multilevel"/>
    <w:tmpl w:val="7F0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83115"/>
    <w:multiLevelType w:val="multilevel"/>
    <w:tmpl w:val="4592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492526"/>
    <w:multiLevelType w:val="multilevel"/>
    <w:tmpl w:val="9696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876027"/>
    <w:multiLevelType w:val="multilevel"/>
    <w:tmpl w:val="F53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D7B6D"/>
    <w:multiLevelType w:val="multilevel"/>
    <w:tmpl w:val="D1A0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15551E"/>
    <w:multiLevelType w:val="multilevel"/>
    <w:tmpl w:val="3F4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0046">
    <w:abstractNumId w:val="3"/>
  </w:num>
  <w:num w:numId="2" w16cid:durableId="1542553208">
    <w:abstractNumId w:val="17"/>
  </w:num>
  <w:num w:numId="3" w16cid:durableId="1109859430">
    <w:abstractNumId w:val="7"/>
  </w:num>
  <w:num w:numId="4" w16cid:durableId="215941873">
    <w:abstractNumId w:val="13"/>
  </w:num>
  <w:num w:numId="5" w16cid:durableId="73170750">
    <w:abstractNumId w:val="15"/>
  </w:num>
  <w:num w:numId="6" w16cid:durableId="1777484996">
    <w:abstractNumId w:val="19"/>
  </w:num>
  <w:num w:numId="7" w16cid:durableId="21327629">
    <w:abstractNumId w:val="16"/>
  </w:num>
  <w:num w:numId="8" w16cid:durableId="432481982">
    <w:abstractNumId w:val="5"/>
  </w:num>
  <w:num w:numId="9" w16cid:durableId="1875851885">
    <w:abstractNumId w:val="23"/>
  </w:num>
  <w:num w:numId="10" w16cid:durableId="1890339722">
    <w:abstractNumId w:val="9"/>
  </w:num>
  <w:num w:numId="11" w16cid:durableId="1038509863">
    <w:abstractNumId w:val="12"/>
  </w:num>
  <w:num w:numId="12" w16cid:durableId="1599407660">
    <w:abstractNumId w:val="2"/>
  </w:num>
  <w:num w:numId="13" w16cid:durableId="1548758439">
    <w:abstractNumId w:val="22"/>
  </w:num>
  <w:num w:numId="14" w16cid:durableId="2133209257">
    <w:abstractNumId w:val="1"/>
  </w:num>
  <w:num w:numId="15" w16cid:durableId="182138486">
    <w:abstractNumId w:val="24"/>
  </w:num>
  <w:num w:numId="16" w16cid:durableId="600913003">
    <w:abstractNumId w:val="4"/>
  </w:num>
  <w:num w:numId="17" w16cid:durableId="1966307611">
    <w:abstractNumId w:val="10"/>
  </w:num>
  <w:num w:numId="18" w16cid:durableId="1914849323">
    <w:abstractNumId w:val="14"/>
  </w:num>
  <w:num w:numId="19" w16cid:durableId="964851810">
    <w:abstractNumId w:val="18"/>
  </w:num>
  <w:num w:numId="20" w16cid:durableId="2000034893">
    <w:abstractNumId w:val="6"/>
  </w:num>
  <w:num w:numId="21" w16cid:durableId="1371299787">
    <w:abstractNumId w:val="21"/>
  </w:num>
  <w:num w:numId="22" w16cid:durableId="708451227">
    <w:abstractNumId w:val="0"/>
  </w:num>
  <w:num w:numId="23" w16cid:durableId="824469331">
    <w:abstractNumId w:val="11"/>
  </w:num>
  <w:num w:numId="24" w16cid:durableId="1241065851">
    <w:abstractNumId w:val="20"/>
  </w:num>
  <w:num w:numId="25" w16cid:durableId="13363476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60"/>
    <w:rsid w:val="000C4D38"/>
    <w:rsid w:val="001213D7"/>
    <w:rsid w:val="0015597A"/>
    <w:rsid w:val="001F5015"/>
    <w:rsid w:val="0022098F"/>
    <w:rsid w:val="00226678"/>
    <w:rsid w:val="0024534E"/>
    <w:rsid w:val="00252376"/>
    <w:rsid w:val="002524EF"/>
    <w:rsid w:val="002B54A0"/>
    <w:rsid w:val="002C0BC2"/>
    <w:rsid w:val="002D7B9C"/>
    <w:rsid w:val="003232A4"/>
    <w:rsid w:val="00337EF8"/>
    <w:rsid w:val="00393F0C"/>
    <w:rsid w:val="003F0814"/>
    <w:rsid w:val="00691C0C"/>
    <w:rsid w:val="006C2607"/>
    <w:rsid w:val="006F7E46"/>
    <w:rsid w:val="007B1F99"/>
    <w:rsid w:val="007F01F9"/>
    <w:rsid w:val="008A0ECB"/>
    <w:rsid w:val="008F4577"/>
    <w:rsid w:val="00955679"/>
    <w:rsid w:val="00957B7D"/>
    <w:rsid w:val="00A86605"/>
    <w:rsid w:val="00BA5160"/>
    <w:rsid w:val="00BB48C6"/>
    <w:rsid w:val="00BF3DE0"/>
    <w:rsid w:val="00C508EC"/>
    <w:rsid w:val="00C51060"/>
    <w:rsid w:val="00C56F9F"/>
    <w:rsid w:val="00C72D5C"/>
    <w:rsid w:val="00CA3D6A"/>
    <w:rsid w:val="00CB252F"/>
    <w:rsid w:val="00D0616B"/>
    <w:rsid w:val="00D56254"/>
    <w:rsid w:val="00D620E8"/>
    <w:rsid w:val="00DB531D"/>
    <w:rsid w:val="00DC38FE"/>
    <w:rsid w:val="00E25E12"/>
    <w:rsid w:val="00ED6814"/>
    <w:rsid w:val="00F12FFE"/>
    <w:rsid w:val="00F329CE"/>
    <w:rsid w:val="00F63D29"/>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3C06"/>
  <w15:chartTrackingRefBased/>
  <w15:docId w15:val="{9E4D4767-03FA-1B4C-B171-499DB086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C51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1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1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60"/>
    <w:rPr>
      <w:rFonts w:eastAsiaTheme="majorEastAsia" w:cstheme="majorBidi"/>
      <w:color w:val="272727" w:themeColor="text1" w:themeTint="D8"/>
    </w:rPr>
  </w:style>
  <w:style w:type="paragraph" w:styleId="Title">
    <w:name w:val="Title"/>
    <w:basedOn w:val="Normal"/>
    <w:next w:val="Normal"/>
    <w:link w:val="TitleChar"/>
    <w:uiPriority w:val="10"/>
    <w:qFormat/>
    <w:rsid w:val="00C5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60"/>
    <w:pPr>
      <w:spacing w:before="160"/>
      <w:jc w:val="center"/>
    </w:pPr>
    <w:rPr>
      <w:i/>
      <w:iCs/>
      <w:color w:val="404040" w:themeColor="text1" w:themeTint="BF"/>
    </w:rPr>
  </w:style>
  <w:style w:type="character" w:customStyle="1" w:styleId="QuoteChar">
    <w:name w:val="Quote Char"/>
    <w:basedOn w:val="DefaultParagraphFont"/>
    <w:link w:val="Quote"/>
    <w:uiPriority w:val="29"/>
    <w:rsid w:val="00C51060"/>
    <w:rPr>
      <w:rFonts w:cs="Arial Unicode MS"/>
      <w:i/>
      <w:iCs/>
      <w:color w:val="404040" w:themeColor="text1" w:themeTint="BF"/>
    </w:rPr>
  </w:style>
  <w:style w:type="paragraph" w:styleId="ListParagraph">
    <w:name w:val="List Paragraph"/>
    <w:basedOn w:val="Normal"/>
    <w:uiPriority w:val="34"/>
    <w:qFormat/>
    <w:rsid w:val="00C51060"/>
    <w:pPr>
      <w:ind w:left="720"/>
      <w:contextualSpacing/>
    </w:pPr>
  </w:style>
  <w:style w:type="character" w:styleId="IntenseEmphasis">
    <w:name w:val="Intense Emphasis"/>
    <w:basedOn w:val="DefaultParagraphFont"/>
    <w:uiPriority w:val="21"/>
    <w:qFormat/>
    <w:rsid w:val="00C51060"/>
    <w:rPr>
      <w:i/>
      <w:iCs/>
      <w:color w:val="0F4761" w:themeColor="accent1" w:themeShade="BF"/>
    </w:rPr>
  </w:style>
  <w:style w:type="paragraph" w:styleId="IntenseQuote">
    <w:name w:val="Intense Quote"/>
    <w:basedOn w:val="Normal"/>
    <w:next w:val="Normal"/>
    <w:link w:val="IntenseQuoteChar"/>
    <w:uiPriority w:val="30"/>
    <w:qFormat/>
    <w:rsid w:val="00C51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60"/>
    <w:rPr>
      <w:rFonts w:cs="Arial Unicode MS"/>
      <w:i/>
      <w:iCs/>
      <w:color w:val="0F4761" w:themeColor="accent1" w:themeShade="BF"/>
    </w:rPr>
  </w:style>
  <w:style w:type="character" w:styleId="IntenseReference">
    <w:name w:val="Intense Reference"/>
    <w:basedOn w:val="DefaultParagraphFont"/>
    <w:uiPriority w:val="32"/>
    <w:qFormat/>
    <w:rsid w:val="00C51060"/>
    <w:rPr>
      <w:b/>
      <w:bCs/>
      <w:smallCaps/>
      <w:color w:val="0F4761" w:themeColor="accent1" w:themeShade="BF"/>
      <w:spacing w:val="5"/>
    </w:rPr>
  </w:style>
  <w:style w:type="paragraph" w:styleId="NormalWeb">
    <w:name w:val="Normal (Web)"/>
    <w:basedOn w:val="Normal"/>
    <w:uiPriority w:val="99"/>
    <w:unhideWhenUsed/>
    <w:rsid w:val="00C510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060"/>
    <w:rPr>
      <w:b/>
      <w:bCs/>
    </w:rPr>
  </w:style>
  <w:style w:type="character" w:styleId="Emphasis">
    <w:name w:val="Emphasis"/>
    <w:basedOn w:val="DefaultParagraphFont"/>
    <w:uiPriority w:val="20"/>
    <w:qFormat/>
    <w:rsid w:val="00337EF8"/>
    <w:rPr>
      <w:i/>
      <w:iCs/>
    </w:rPr>
  </w:style>
  <w:style w:type="character" w:styleId="Hyperlink">
    <w:name w:val="Hyperlink"/>
    <w:basedOn w:val="DefaultParagraphFont"/>
    <w:uiPriority w:val="99"/>
    <w:unhideWhenUsed/>
    <w:rsid w:val="00DC38FE"/>
    <w:rPr>
      <w:color w:val="467886" w:themeColor="hyperlink"/>
      <w:u w:val="single"/>
    </w:rPr>
  </w:style>
  <w:style w:type="character" w:styleId="UnresolvedMention">
    <w:name w:val="Unresolved Mention"/>
    <w:basedOn w:val="DefaultParagraphFont"/>
    <w:uiPriority w:val="99"/>
    <w:semiHidden/>
    <w:unhideWhenUsed/>
    <w:rsid w:val="00DC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bdaac-8074-8008-8a34-de37c6aa61e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3</cp:revision>
  <dcterms:created xsi:type="dcterms:W3CDTF">2025-11-05T23:11:00Z</dcterms:created>
  <dcterms:modified xsi:type="dcterms:W3CDTF">2025-11-05T23:17:00Z</dcterms:modified>
</cp:coreProperties>
</file>