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E24DF" w14:textId="361AF7B5" w:rsidR="006C2607" w:rsidRPr="00167FCB" w:rsidRDefault="00F63D29" w:rsidP="00167FCB">
      <w:pPr>
        <w:spacing w:after="0" w:line="240" w:lineRule="auto"/>
        <w:rPr>
          <w:rFonts w:ascii="Times New Roman" w:hAnsi="Times New Roman" w:cs="Times New Roman"/>
          <w:b/>
          <w:bCs/>
          <w:u w:val="single"/>
          <w:lang w:val="en-US"/>
        </w:rPr>
      </w:pPr>
      <w:r w:rsidRPr="00167FCB">
        <w:rPr>
          <w:rFonts w:ascii="Times New Roman" w:hAnsi="Times New Roman" w:cs="Times New Roman"/>
          <w:b/>
          <w:bCs/>
          <w:u w:val="single"/>
          <w:lang w:val="en-US"/>
        </w:rPr>
        <w:t>Article 5 (1</w:t>
      </w:r>
      <w:r w:rsidR="00CB6C10" w:rsidRPr="00167FCB">
        <w:rPr>
          <w:rFonts w:ascii="Times New Roman" w:hAnsi="Times New Roman" w:cs="Times New Roman"/>
          <w:b/>
          <w:bCs/>
          <w:u w:val="single"/>
          <w:lang w:val="en-US"/>
        </w:rPr>
        <w:t>f</w:t>
      </w:r>
      <w:r w:rsidRPr="00167FCB">
        <w:rPr>
          <w:rFonts w:ascii="Times New Roman" w:hAnsi="Times New Roman" w:cs="Times New Roman"/>
          <w:b/>
          <w:bCs/>
          <w:u w:val="single"/>
          <w:lang w:val="en-US"/>
        </w:rPr>
        <w:t>)</w:t>
      </w:r>
    </w:p>
    <w:p w14:paraId="346ADF32" w14:textId="77777777" w:rsidR="00CB6C10" w:rsidRPr="00167FCB" w:rsidRDefault="00CB6C10" w:rsidP="00167FCB">
      <w:pPr>
        <w:spacing w:after="0" w:line="240" w:lineRule="auto"/>
        <w:rPr>
          <w:rFonts w:ascii="Times New Roman" w:hAnsi="Times New Roman" w:cs="Times New Roman"/>
          <w:b/>
          <w:bCs/>
          <w:u w:val="single"/>
          <w:lang w:val="en-US"/>
        </w:rPr>
      </w:pPr>
    </w:p>
    <w:p w14:paraId="640A7E2F" w14:textId="50568F7C" w:rsidR="00CB6C10" w:rsidRPr="00167FCB" w:rsidRDefault="00167FCB" w:rsidP="00167FCB">
      <w:pPr>
        <w:spacing w:after="0" w:line="240" w:lineRule="auto"/>
        <w:rPr>
          <w:rFonts w:ascii="Times New Roman" w:hAnsi="Times New Roman" w:cs="Times New Roman"/>
          <w:b/>
          <w:bCs/>
          <w:u w:val="single"/>
        </w:rPr>
      </w:pPr>
      <w:r w:rsidRPr="00167FCB">
        <w:rPr>
          <w:rFonts w:ascii="Times New Roman" w:hAnsi="Times New Roman" w:cs="Times New Roman"/>
          <w:b/>
          <w:bCs/>
          <w:u w:val="single"/>
        </w:rPr>
        <w:t>https://chatgpt.com/share/690bdcf5-3304-8008-beba-736de5ba2995</w:t>
      </w:r>
    </w:p>
    <w:p w14:paraId="2959B961" w14:textId="77777777" w:rsidR="00167FCB" w:rsidRPr="00167FCB" w:rsidRDefault="00167FCB" w:rsidP="00167FCB">
      <w:pPr>
        <w:spacing w:after="0" w:line="240" w:lineRule="auto"/>
        <w:rPr>
          <w:rFonts w:ascii="Times New Roman" w:hAnsi="Times New Roman" w:cs="Times New Roman"/>
          <w:b/>
          <w:bCs/>
          <w:u w:val="single"/>
        </w:rPr>
      </w:pPr>
    </w:p>
    <w:p w14:paraId="1376A398" w14:textId="77777777" w:rsidR="00167FCB" w:rsidRPr="00167FCB" w:rsidRDefault="0058536C" w:rsidP="00167FCB">
      <w:pPr>
        <w:spacing w:after="0" w:line="240" w:lineRule="auto"/>
        <w:rPr>
          <w:rFonts w:ascii="Times New Roman" w:eastAsia="Times New Roman" w:hAnsi="Times New Roman" w:cs="Times New Roman"/>
          <w:kern w:val="0"/>
          <w14:ligatures w14:val="none"/>
        </w:rPr>
      </w:pPr>
      <w:r w:rsidRPr="0058536C">
        <w:rPr>
          <w:rFonts w:ascii="Times New Roman" w:eastAsia="Times New Roman" w:hAnsi="Times New Roman" w:cs="Times New Roman"/>
          <w:noProof/>
          <w:kern w:val="0"/>
        </w:rPr>
        <w:pict w14:anchorId="33123672">
          <v:rect id="_x0000_i1029" alt="" style="width:468pt;height:.05pt;mso-width-percent:0;mso-height-percent:0;mso-width-percent:0;mso-height-percent:0" o:hralign="center" o:hrstd="t" o:hr="t" fillcolor="#a0a0a0" stroked="f"/>
        </w:pict>
      </w:r>
    </w:p>
    <w:p w14:paraId="496EB60A" w14:textId="77777777" w:rsidR="00167FCB" w:rsidRPr="00167FCB" w:rsidRDefault="00167FCB" w:rsidP="00167FCB">
      <w:pPr>
        <w:spacing w:after="0" w:line="240" w:lineRule="auto"/>
        <w:outlineLvl w:val="1"/>
        <w:rPr>
          <w:rFonts w:ascii="Times New Roman" w:eastAsia="Times New Roman" w:hAnsi="Times New Roman" w:cs="Times New Roman"/>
          <w:b/>
          <w:bCs/>
          <w:kern w:val="0"/>
          <w14:ligatures w14:val="none"/>
        </w:rPr>
      </w:pPr>
      <w:r w:rsidRPr="00167FCB">
        <w:rPr>
          <w:rFonts w:ascii="Times New Roman" w:eastAsia="Times New Roman" w:hAnsi="Times New Roman" w:cs="Times New Roman"/>
          <w:b/>
          <w:bCs/>
          <w:kern w:val="0"/>
          <w14:ligatures w14:val="none"/>
        </w:rPr>
        <w:t>STEP 1: Identify and extract relevant Recitals</w:t>
      </w:r>
    </w:p>
    <w:p w14:paraId="374A83D6"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 xml:space="preserve">The following </w:t>
      </w:r>
      <w:r w:rsidRPr="00167FCB">
        <w:rPr>
          <w:rFonts w:ascii="Times New Roman" w:eastAsia="Times New Roman" w:hAnsi="Times New Roman" w:cs="Times New Roman"/>
          <w:b/>
          <w:bCs/>
          <w:kern w:val="0"/>
          <w14:ligatures w14:val="none"/>
        </w:rPr>
        <w:t>Recitals</w:t>
      </w:r>
      <w:r w:rsidRPr="00167FCB">
        <w:rPr>
          <w:rFonts w:ascii="Times New Roman" w:eastAsia="Times New Roman" w:hAnsi="Times New Roman" w:cs="Times New Roman"/>
          <w:kern w:val="0"/>
          <w14:ligatures w14:val="none"/>
        </w:rPr>
        <w:t xml:space="preserve"> explain or elaborate the principle of accountability under Article 5(2):</w:t>
      </w:r>
    </w:p>
    <w:p w14:paraId="40B0794A" w14:textId="77777777" w:rsidR="00167FCB" w:rsidRPr="00167FCB" w:rsidRDefault="00167FCB" w:rsidP="00167FCB">
      <w:pPr>
        <w:numPr>
          <w:ilvl w:val="0"/>
          <w:numId w:val="32"/>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74</w:t>
      </w:r>
      <w:r w:rsidRPr="00167FCB">
        <w:rPr>
          <w:rFonts w:ascii="Times New Roman" w:eastAsia="Times New Roman" w:hAnsi="Times New Roman" w:cs="Times New Roman"/>
          <w:kern w:val="0"/>
          <w14:ligatures w14:val="none"/>
        </w:rPr>
        <w:t xml:space="preserve"> – Responsibility and accountability of the controller.</w:t>
      </w:r>
    </w:p>
    <w:p w14:paraId="4D29EFD6" w14:textId="77777777" w:rsidR="00167FCB" w:rsidRPr="00167FCB" w:rsidRDefault="00167FCB" w:rsidP="00167FCB">
      <w:pPr>
        <w:spacing w:after="0" w:line="240" w:lineRule="auto"/>
        <w:ind w:left="720"/>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It states that the controller should be responsible for any processing of personal data and must be able to demonstrate compliance with the Regulation.</w:t>
      </w:r>
      <w:r w:rsidRPr="00167FCB">
        <w:rPr>
          <w:rFonts w:ascii="Times New Roman" w:eastAsia="Times New Roman" w:hAnsi="Times New Roman" w:cs="Times New Roman"/>
          <w:kern w:val="0"/>
          <w14:ligatures w14:val="none"/>
        </w:rPr>
        <w:br/>
        <w:t>It also emphasizes that appropriate measures and records must be maintained to prove compliance.</w:t>
      </w:r>
    </w:p>
    <w:p w14:paraId="5CE2CA6B" w14:textId="77777777" w:rsidR="00167FCB" w:rsidRPr="00167FCB" w:rsidRDefault="00167FCB" w:rsidP="00167FCB">
      <w:pPr>
        <w:numPr>
          <w:ilvl w:val="0"/>
          <w:numId w:val="32"/>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75</w:t>
      </w:r>
      <w:r w:rsidRPr="00167FCB">
        <w:rPr>
          <w:rFonts w:ascii="Times New Roman" w:eastAsia="Times New Roman" w:hAnsi="Times New Roman" w:cs="Times New Roman"/>
          <w:kern w:val="0"/>
          <w14:ligatures w14:val="none"/>
        </w:rPr>
        <w:t xml:space="preserve"> – Risks to rights and freedoms.</w:t>
      </w:r>
    </w:p>
    <w:p w14:paraId="037C575F" w14:textId="77777777" w:rsidR="00167FCB" w:rsidRPr="00167FCB" w:rsidRDefault="00167FCB" w:rsidP="00167FCB">
      <w:pPr>
        <w:spacing w:after="0" w:line="240" w:lineRule="auto"/>
        <w:ind w:left="720"/>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It contextualizes accountability by linking it to the potential risks arising from processing operations.</w:t>
      </w:r>
    </w:p>
    <w:p w14:paraId="54308B96" w14:textId="77777777" w:rsidR="00167FCB" w:rsidRPr="00167FCB" w:rsidRDefault="00167FCB" w:rsidP="00167FCB">
      <w:pPr>
        <w:numPr>
          <w:ilvl w:val="0"/>
          <w:numId w:val="32"/>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76</w:t>
      </w:r>
      <w:r w:rsidRPr="00167FCB">
        <w:rPr>
          <w:rFonts w:ascii="Times New Roman" w:eastAsia="Times New Roman" w:hAnsi="Times New Roman" w:cs="Times New Roman"/>
          <w:kern w:val="0"/>
          <w14:ligatures w14:val="none"/>
        </w:rPr>
        <w:t xml:space="preserve"> – Risk assessment and appropriate measures.</w:t>
      </w:r>
    </w:p>
    <w:p w14:paraId="6567DC8C" w14:textId="77777777" w:rsidR="00167FCB" w:rsidRPr="00167FCB" w:rsidRDefault="00167FCB" w:rsidP="00167FCB">
      <w:pPr>
        <w:spacing w:after="0" w:line="240" w:lineRule="auto"/>
        <w:ind w:left="720"/>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It explains that the measures adopted by the controller should correspond to the level of risk involved.</w:t>
      </w:r>
    </w:p>
    <w:p w14:paraId="5C84C5A4" w14:textId="77777777" w:rsidR="00167FCB" w:rsidRPr="00167FCB" w:rsidRDefault="00167FCB" w:rsidP="00167FCB">
      <w:pPr>
        <w:numPr>
          <w:ilvl w:val="0"/>
          <w:numId w:val="32"/>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77</w:t>
      </w:r>
      <w:r w:rsidRPr="00167FCB">
        <w:rPr>
          <w:rFonts w:ascii="Times New Roman" w:eastAsia="Times New Roman" w:hAnsi="Times New Roman" w:cs="Times New Roman"/>
          <w:kern w:val="0"/>
          <w14:ligatures w14:val="none"/>
        </w:rPr>
        <w:t xml:space="preserve"> – Guidance on demonstrating compliance.</w:t>
      </w:r>
    </w:p>
    <w:p w14:paraId="6C9F1C29" w14:textId="77777777" w:rsidR="00167FCB" w:rsidRPr="00167FCB" w:rsidRDefault="00167FCB" w:rsidP="00167FCB">
      <w:pPr>
        <w:spacing w:after="0" w:line="240" w:lineRule="auto"/>
        <w:ind w:left="720"/>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It highlights that the controller can use codes of conduct or certification mechanisms as a means to demonstrate compliance.</w:t>
      </w:r>
    </w:p>
    <w:p w14:paraId="2F084D34" w14:textId="77777777" w:rsidR="00167FCB" w:rsidRPr="00167FCB" w:rsidRDefault="00167FCB" w:rsidP="00167FCB">
      <w:pPr>
        <w:numPr>
          <w:ilvl w:val="0"/>
          <w:numId w:val="32"/>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78</w:t>
      </w:r>
      <w:r w:rsidRPr="00167FCB">
        <w:rPr>
          <w:rFonts w:ascii="Times New Roman" w:eastAsia="Times New Roman" w:hAnsi="Times New Roman" w:cs="Times New Roman"/>
          <w:kern w:val="0"/>
          <w14:ligatures w14:val="none"/>
        </w:rPr>
        <w:t xml:space="preserve"> – Data protection by design and by default.</w:t>
      </w:r>
    </w:p>
    <w:p w14:paraId="6C86848D" w14:textId="77777777" w:rsidR="00167FCB" w:rsidRPr="00167FCB" w:rsidRDefault="00167FCB" w:rsidP="00167FCB">
      <w:pPr>
        <w:spacing w:after="0" w:line="240" w:lineRule="auto"/>
        <w:ind w:left="720"/>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Provides further explanation of how accountability translates into practical design and default measures.</w:t>
      </w:r>
    </w:p>
    <w:p w14:paraId="7F980C0E" w14:textId="77777777" w:rsidR="00167FCB" w:rsidRPr="00167FCB" w:rsidRDefault="00167FCB" w:rsidP="00167FCB">
      <w:pPr>
        <w:numPr>
          <w:ilvl w:val="0"/>
          <w:numId w:val="32"/>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82</w:t>
      </w:r>
      <w:r w:rsidRPr="00167FCB">
        <w:rPr>
          <w:rFonts w:ascii="Times New Roman" w:eastAsia="Times New Roman" w:hAnsi="Times New Roman" w:cs="Times New Roman"/>
          <w:kern w:val="0"/>
          <w14:ligatures w14:val="none"/>
        </w:rPr>
        <w:t xml:space="preserve"> – Record of processing activities.</w:t>
      </w:r>
    </w:p>
    <w:p w14:paraId="07137870" w14:textId="77777777" w:rsidR="00167FCB" w:rsidRPr="00167FCB" w:rsidRDefault="00167FCB" w:rsidP="00167FCB">
      <w:pPr>
        <w:spacing w:after="0" w:line="240" w:lineRule="auto"/>
        <w:ind w:left="720"/>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Supports accountability by requiring documentation to show compliance.</w:t>
      </w:r>
    </w:p>
    <w:p w14:paraId="11002433" w14:textId="77777777" w:rsidR="00167FCB" w:rsidRPr="00167FCB" w:rsidRDefault="0058536C" w:rsidP="00167FCB">
      <w:pPr>
        <w:spacing w:after="0" w:line="240" w:lineRule="auto"/>
        <w:rPr>
          <w:rFonts w:ascii="Times New Roman" w:eastAsia="Times New Roman" w:hAnsi="Times New Roman" w:cs="Times New Roman"/>
          <w:kern w:val="0"/>
          <w14:ligatures w14:val="none"/>
        </w:rPr>
      </w:pPr>
      <w:r w:rsidRPr="0058536C">
        <w:rPr>
          <w:rFonts w:ascii="Times New Roman" w:eastAsia="Times New Roman" w:hAnsi="Times New Roman" w:cs="Times New Roman"/>
          <w:noProof/>
          <w:kern w:val="0"/>
        </w:rPr>
        <w:pict w14:anchorId="12A80D25">
          <v:rect id="_x0000_i1028" alt="" style="width:468pt;height:.05pt;mso-width-percent:0;mso-height-percent:0;mso-width-percent:0;mso-height-percent:0" o:hralign="center" o:hrstd="t" o:hr="t" fillcolor="#a0a0a0" stroked="f"/>
        </w:pict>
      </w:r>
    </w:p>
    <w:p w14:paraId="4D798541" w14:textId="77777777" w:rsidR="00167FCB" w:rsidRPr="00167FCB" w:rsidRDefault="00167FCB" w:rsidP="00167FCB">
      <w:pPr>
        <w:spacing w:after="0" w:line="240" w:lineRule="auto"/>
        <w:outlineLvl w:val="1"/>
        <w:rPr>
          <w:rFonts w:ascii="Times New Roman" w:eastAsia="Times New Roman" w:hAnsi="Times New Roman" w:cs="Times New Roman"/>
          <w:b/>
          <w:bCs/>
          <w:kern w:val="0"/>
          <w14:ligatures w14:val="none"/>
        </w:rPr>
      </w:pPr>
      <w:r w:rsidRPr="00167FCB">
        <w:rPr>
          <w:rFonts w:ascii="Times New Roman" w:eastAsia="Times New Roman" w:hAnsi="Times New Roman" w:cs="Times New Roman"/>
          <w:b/>
          <w:bCs/>
          <w:kern w:val="0"/>
          <w14:ligatures w14:val="none"/>
        </w:rPr>
        <w:t>STEP 2: Identify related Articles</w:t>
      </w:r>
    </w:p>
    <w:p w14:paraId="49F9E874"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 xml:space="preserve">The following </w:t>
      </w:r>
      <w:r w:rsidRPr="00167FCB">
        <w:rPr>
          <w:rFonts w:ascii="Times New Roman" w:eastAsia="Times New Roman" w:hAnsi="Times New Roman" w:cs="Times New Roman"/>
          <w:b/>
          <w:bCs/>
          <w:kern w:val="0"/>
          <w14:ligatures w14:val="none"/>
        </w:rPr>
        <w:t>Articles</w:t>
      </w:r>
      <w:r w:rsidRPr="00167FCB">
        <w:rPr>
          <w:rFonts w:ascii="Times New Roman" w:eastAsia="Times New Roman" w:hAnsi="Times New Roman" w:cs="Times New Roman"/>
          <w:kern w:val="0"/>
          <w14:ligatures w14:val="none"/>
        </w:rPr>
        <w:t xml:space="preserve"> are directly or logically related to Article 5(2):</w:t>
      </w:r>
    </w:p>
    <w:p w14:paraId="13577BD1"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5(1)</w:t>
      </w:r>
      <w:r w:rsidRPr="00167FCB">
        <w:rPr>
          <w:rFonts w:ascii="Times New Roman" w:eastAsia="Times New Roman" w:hAnsi="Times New Roman" w:cs="Times New Roman"/>
          <w:kern w:val="0"/>
          <w14:ligatures w14:val="none"/>
        </w:rPr>
        <w:t xml:space="preserve"> – Lays down the data protection principles with which the controller must comply.</w:t>
      </w:r>
    </w:p>
    <w:p w14:paraId="1E35B3F4"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24</w:t>
      </w:r>
      <w:r w:rsidRPr="00167FCB">
        <w:rPr>
          <w:rFonts w:ascii="Times New Roman" w:eastAsia="Times New Roman" w:hAnsi="Times New Roman" w:cs="Times New Roman"/>
          <w:kern w:val="0"/>
          <w14:ligatures w14:val="none"/>
        </w:rPr>
        <w:t xml:space="preserve"> – Explicitly operationalizes accountability: controllers must implement measures to ensure and demonstrate compliance.</w:t>
      </w:r>
    </w:p>
    <w:p w14:paraId="0D4565DF"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25</w:t>
      </w:r>
      <w:r w:rsidRPr="00167FCB">
        <w:rPr>
          <w:rFonts w:ascii="Times New Roman" w:eastAsia="Times New Roman" w:hAnsi="Times New Roman" w:cs="Times New Roman"/>
          <w:kern w:val="0"/>
          <w14:ligatures w14:val="none"/>
        </w:rPr>
        <w:t xml:space="preserve"> – Data protection by design and by default (practical expression of accountability).</w:t>
      </w:r>
    </w:p>
    <w:p w14:paraId="3A61C167"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30</w:t>
      </w:r>
      <w:r w:rsidRPr="00167FCB">
        <w:rPr>
          <w:rFonts w:ascii="Times New Roman" w:eastAsia="Times New Roman" w:hAnsi="Times New Roman" w:cs="Times New Roman"/>
          <w:kern w:val="0"/>
          <w14:ligatures w14:val="none"/>
        </w:rPr>
        <w:t xml:space="preserve"> – Record of processing activities (documentation requirement to demonstrate compliance).</w:t>
      </w:r>
    </w:p>
    <w:p w14:paraId="53455865"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32</w:t>
      </w:r>
      <w:r w:rsidRPr="00167FCB">
        <w:rPr>
          <w:rFonts w:ascii="Times New Roman" w:eastAsia="Times New Roman" w:hAnsi="Times New Roman" w:cs="Times New Roman"/>
          <w:kern w:val="0"/>
          <w14:ligatures w14:val="none"/>
        </w:rPr>
        <w:t xml:space="preserve"> – Security of processing (a necessary measure to demonstrate accountability).</w:t>
      </w:r>
    </w:p>
    <w:p w14:paraId="265CFB93"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33–34</w:t>
      </w:r>
      <w:r w:rsidRPr="00167FCB">
        <w:rPr>
          <w:rFonts w:ascii="Times New Roman" w:eastAsia="Times New Roman" w:hAnsi="Times New Roman" w:cs="Times New Roman"/>
          <w:kern w:val="0"/>
          <w14:ligatures w14:val="none"/>
        </w:rPr>
        <w:t xml:space="preserve"> – Breach notification duties (another way of demonstrating compliance).</w:t>
      </w:r>
    </w:p>
    <w:p w14:paraId="582C0AEC"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58(2)</w:t>
      </w:r>
      <w:r w:rsidRPr="00167FCB">
        <w:rPr>
          <w:rFonts w:ascii="Times New Roman" w:eastAsia="Times New Roman" w:hAnsi="Times New Roman" w:cs="Times New Roman"/>
          <w:kern w:val="0"/>
          <w14:ligatures w14:val="none"/>
        </w:rPr>
        <w:t xml:space="preserve"> – Supervisory authority powers related to accountability enforcement.</w:t>
      </w:r>
    </w:p>
    <w:p w14:paraId="2CABD561" w14:textId="77777777" w:rsidR="00167FCB" w:rsidRPr="00167FCB" w:rsidRDefault="00167FCB" w:rsidP="00167FCB">
      <w:pPr>
        <w:numPr>
          <w:ilvl w:val="0"/>
          <w:numId w:val="33"/>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 83(5)(a)</w:t>
      </w:r>
      <w:r w:rsidRPr="00167FCB">
        <w:rPr>
          <w:rFonts w:ascii="Times New Roman" w:eastAsia="Times New Roman" w:hAnsi="Times New Roman" w:cs="Times New Roman"/>
          <w:kern w:val="0"/>
          <w14:ligatures w14:val="none"/>
        </w:rPr>
        <w:t xml:space="preserve"> – Accountability violations subject to administrative fines.</w:t>
      </w:r>
    </w:p>
    <w:p w14:paraId="5725B551" w14:textId="77777777" w:rsidR="00167FCB" w:rsidRPr="00167FCB" w:rsidRDefault="0058536C" w:rsidP="00167FCB">
      <w:pPr>
        <w:spacing w:after="0" w:line="240" w:lineRule="auto"/>
        <w:rPr>
          <w:rFonts w:ascii="Times New Roman" w:eastAsia="Times New Roman" w:hAnsi="Times New Roman" w:cs="Times New Roman"/>
          <w:kern w:val="0"/>
          <w14:ligatures w14:val="none"/>
        </w:rPr>
      </w:pPr>
      <w:r w:rsidRPr="0058536C">
        <w:rPr>
          <w:rFonts w:ascii="Times New Roman" w:eastAsia="Times New Roman" w:hAnsi="Times New Roman" w:cs="Times New Roman"/>
          <w:noProof/>
          <w:kern w:val="0"/>
        </w:rPr>
        <w:pict w14:anchorId="4A5A00AD">
          <v:rect id="_x0000_i1027" alt="" style="width:468pt;height:.05pt;mso-width-percent:0;mso-height-percent:0;mso-width-percent:0;mso-height-percent:0" o:hralign="center" o:hrstd="t" o:hr="t" fillcolor="#a0a0a0" stroked="f"/>
        </w:pict>
      </w:r>
    </w:p>
    <w:p w14:paraId="5CA9BE6A" w14:textId="77777777" w:rsidR="00167FCB" w:rsidRPr="00167FCB" w:rsidRDefault="00167FCB" w:rsidP="00167FCB">
      <w:pPr>
        <w:spacing w:after="0" w:line="240" w:lineRule="auto"/>
        <w:outlineLvl w:val="1"/>
        <w:rPr>
          <w:rFonts w:ascii="Times New Roman" w:eastAsia="Times New Roman" w:hAnsi="Times New Roman" w:cs="Times New Roman"/>
          <w:b/>
          <w:bCs/>
          <w:kern w:val="0"/>
          <w14:ligatures w14:val="none"/>
        </w:rPr>
      </w:pPr>
      <w:r w:rsidRPr="00167FCB">
        <w:rPr>
          <w:rFonts w:ascii="Times New Roman" w:eastAsia="Times New Roman" w:hAnsi="Times New Roman" w:cs="Times New Roman"/>
          <w:b/>
          <w:bCs/>
          <w:kern w:val="0"/>
          <w14:ligatures w14:val="none"/>
        </w:rPr>
        <w:t>STEP 3: Create a complete and detailed legal rule</w:t>
      </w:r>
    </w:p>
    <w:p w14:paraId="76FAC81D" w14:textId="77777777" w:rsidR="00167FCB" w:rsidRPr="00167FCB" w:rsidRDefault="00167FCB" w:rsidP="00167FCB">
      <w:pPr>
        <w:spacing w:after="0" w:line="240" w:lineRule="auto"/>
        <w:outlineLvl w:val="2"/>
        <w:rPr>
          <w:rFonts w:ascii="Times New Roman" w:eastAsia="Times New Roman" w:hAnsi="Times New Roman" w:cs="Times New Roman"/>
          <w:b/>
          <w:bCs/>
          <w:kern w:val="0"/>
          <w14:ligatures w14:val="none"/>
        </w:rPr>
      </w:pPr>
      <w:r w:rsidRPr="00167FCB">
        <w:rPr>
          <w:rFonts w:ascii="Times New Roman" w:eastAsia="Times New Roman" w:hAnsi="Times New Roman" w:cs="Times New Roman"/>
          <w:b/>
          <w:bCs/>
          <w:kern w:val="0"/>
          <w14:ligatures w14:val="none"/>
        </w:rPr>
        <w:t>Detailed Legal Rule (integrated with relevant Articles &amp; Recitals):</w:t>
      </w:r>
    </w:p>
    <w:p w14:paraId="0DDBF80D"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 xml:space="preserve">Under </w:t>
      </w:r>
      <w:r w:rsidRPr="00167FCB">
        <w:rPr>
          <w:rFonts w:ascii="Times New Roman" w:eastAsia="Times New Roman" w:hAnsi="Times New Roman" w:cs="Times New Roman"/>
          <w:b/>
          <w:bCs/>
          <w:kern w:val="0"/>
          <w14:ligatures w14:val="none"/>
        </w:rPr>
        <w:t>Article 5(2) GDPR</w:t>
      </w:r>
      <w:r w:rsidRPr="00167FCB">
        <w:rPr>
          <w:rFonts w:ascii="Times New Roman" w:eastAsia="Times New Roman" w:hAnsi="Times New Roman" w:cs="Times New Roman"/>
          <w:kern w:val="0"/>
          <w14:ligatures w14:val="none"/>
        </w:rPr>
        <w:t xml:space="preserve">, the controller is </w:t>
      </w:r>
      <w:r w:rsidRPr="00167FCB">
        <w:rPr>
          <w:rFonts w:ascii="Times New Roman" w:eastAsia="Times New Roman" w:hAnsi="Times New Roman" w:cs="Times New Roman"/>
          <w:b/>
          <w:bCs/>
          <w:kern w:val="0"/>
          <w14:ligatures w14:val="none"/>
        </w:rPr>
        <w:t>responsible for ensuring</w:t>
      </w:r>
      <w:r w:rsidRPr="00167FCB">
        <w:rPr>
          <w:rFonts w:ascii="Times New Roman" w:eastAsia="Times New Roman" w:hAnsi="Times New Roman" w:cs="Times New Roman"/>
          <w:kern w:val="0"/>
          <w14:ligatures w14:val="none"/>
        </w:rPr>
        <w:t xml:space="preserve"> that personal data is processed in compliance with the principles laid down in Article 5(1) — </w:t>
      </w:r>
      <w:r w:rsidRPr="00167FCB">
        <w:rPr>
          <w:rFonts w:ascii="Times New Roman" w:eastAsia="Times New Roman" w:hAnsi="Times New Roman" w:cs="Times New Roman"/>
          <w:i/>
          <w:iCs/>
          <w:kern w:val="0"/>
          <w14:ligatures w14:val="none"/>
        </w:rPr>
        <w:t>lawfulness, fairness, transparency, purpose limitation, data minimization, accuracy, storage limitation, integrity, and confidentiality</w:t>
      </w:r>
      <w:r w:rsidRPr="00167FCB">
        <w:rPr>
          <w:rFonts w:ascii="Times New Roman" w:eastAsia="Times New Roman" w:hAnsi="Times New Roman" w:cs="Times New Roman"/>
          <w:kern w:val="0"/>
          <w14:ligatures w14:val="none"/>
        </w:rPr>
        <w:t xml:space="preserve"> — and must also be </w:t>
      </w:r>
      <w:r w:rsidRPr="00167FCB">
        <w:rPr>
          <w:rFonts w:ascii="Times New Roman" w:eastAsia="Times New Roman" w:hAnsi="Times New Roman" w:cs="Times New Roman"/>
          <w:b/>
          <w:bCs/>
          <w:kern w:val="0"/>
          <w14:ligatures w14:val="none"/>
        </w:rPr>
        <w:t>able to demonstrate</w:t>
      </w:r>
      <w:r w:rsidRPr="00167FCB">
        <w:rPr>
          <w:rFonts w:ascii="Times New Roman" w:eastAsia="Times New Roman" w:hAnsi="Times New Roman" w:cs="Times New Roman"/>
          <w:kern w:val="0"/>
          <w14:ligatures w14:val="none"/>
        </w:rPr>
        <w:t xml:space="preserve"> such compliance (</w:t>
      </w:r>
      <w:r w:rsidRPr="00167FCB">
        <w:rPr>
          <w:rFonts w:ascii="Times New Roman" w:eastAsia="Times New Roman" w:hAnsi="Times New Roman" w:cs="Times New Roman"/>
          <w:i/>
          <w:iCs/>
          <w:kern w:val="0"/>
          <w14:ligatures w14:val="none"/>
        </w:rPr>
        <w:t>accountability principle</w:t>
      </w:r>
      <w:r w:rsidRPr="00167FCB">
        <w:rPr>
          <w:rFonts w:ascii="Times New Roman" w:eastAsia="Times New Roman" w:hAnsi="Times New Roman" w:cs="Times New Roman"/>
          <w:kern w:val="0"/>
          <w14:ligatures w14:val="none"/>
        </w:rPr>
        <w:t>).</w:t>
      </w:r>
    </w:p>
    <w:p w14:paraId="4AC7B369"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 xml:space="preserve">According to </w:t>
      </w:r>
      <w:r w:rsidRPr="00167FCB">
        <w:rPr>
          <w:rFonts w:ascii="Times New Roman" w:eastAsia="Times New Roman" w:hAnsi="Times New Roman" w:cs="Times New Roman"/>
          <w:b/>
          <w:bCs/>
          <w:kern w:val="0"/>
          <w14:ligatures w14:val="none"/>
        </w:rPr>
        <w:t>Recital 74</w:t>
      </w:r>
      <w:r w:rsidRPr="00167FCB">
        <w:rPr>
          <w:rFonts w:ascii="Times New Roman" w:eastAsia="Times New Roman" w:hAnsi="Times New Roman" w:cs="Times New Roman"/>
          <w:kern w:val="0"/>
          <w14:ligatures w14:val="none"/>
        </w:rPr>
        <w:t>, this responsibility implies that the controller must implement appropriate and effective measures and be able to demonstrate the effectiveness of those measures.</w:t>
      </w:r>
    </w:p>
    <w:p w14:paraId="6A3A8ED2"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Articles 24, 25, and 30</w:t>
      </w:r>
      <w:r w:rsidRPr="00167FCB">
        <w:rPr>
          <w:rFonts w:ascii="Times New Roman" w:eastAsia="Times New Roman" w:hAnsi="Times New Roman" w:cs="Times New Roman"/>
          <w:kern w:val="0"/>
          <w14:ligatures w14:val="none"/>
        </w:rPr>
        <w:t xml:space="preserve"> specify how accountability is to be demonstrated — through:</w:t>
      </w:r>
    </w:p>
    <w:p w14:paraId="6385F9A9" w14:textId="77777777" w:rsidR="00167FCB" w:rsidRPr="00167FCB" w:rsidRDefault="00167FCB" w:rsidP="00167FCB">
      <w:pPr>
        <w:numPr>
          <w:ilvl w:val="0"/>
          <w:numId w:val="34"/>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appropriate technical and organizational measures;</w:t>
      </w:r>
    </w:p>
    <w:p w14:paraId="25C7AD66" w14:textId="77777777" w:rsidR="00167FCB" w:rsidRPr="00167FCB" w:rsidRDefault="00167FCB" w:rsidP="00167FCB">
      <w:pPr>
        <w:numPr>
          <w:ilvl w:val="0"/>
          <w:numId w:val="34"/>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documentation (records of processing);</w:t>
      </w:r>
    </w:p>
    <w:p w14:paraId="7853F632" w14:textId="77777777" w:rsidR="00167FCB" w:rsidRPr="00167FCB" w:rsidRDefault="00167FCB" w:rsidP="00167FCB">
      <w:pPr>
        <w:numPr>
          <w:ilvl w:val="0"/>
          <w:numId w:val="34"/>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adherence to codes of conduct or certification mechanisms (</w:t>
      </w:r>
      <w:r w:rsidRPr="00167FCB">
        <w:rPr>
          <w:rFonts w:ascii="Times New Roman" w:eastAsia="Times New Roman" w:hAnsi="Times New Roman" w:cs="Times New Roman"/>
          <w:b/>
          <w:bCs/>
          <w:kern w:val="0"/>
          <w14:ligatures w14:val="none"/>
        </w:rPr>
        <w:t>Recital 77</w:t>
      </w:r>
      <w:r w:rsidRPr="00167FCB">
        <w:rPr>
          <w:rFonts w:ascii="Times New Roman" w:eastAsia="Times New Roman" w:hAnsi="Times New Roman" w:cs="Times New Roman"/>
          <w:kern w:val="0"/>
          <w14:ligatures w14:val="none"/>
        </w:rPr>
        <w:t>);</w:t>
      </w:r>
    </w:p>
    <w:p w14:paraId="4818DBB1" w14:textId="77777777" w:rsidR="00167FCB" w:rsidRPr="00167FCB" w:rsidRDefault="00167FCB" w:rsidP="00167FCB">
      <w:pPr>
        <w:numPr>
          <w:ilvl w:val="0"/>
          <w:numId w:val="34"/>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implementation of data protection by design and default (</w:t>
      </w:r>
      <w:r w:rsidRPr="00167FCB">
        <w:rPr>
          <w:rFonts w:ascii="Times New Roman" w:eastAsia="Times New Roman" w:hAnsi="Times New Roman" w:cs="Times New Roman"/>
          <w:b/>
          <w:bCs/>
          <w:kern w:val="0"/>
          <w14:ligatures w14:val="none"/>
        </w:rPr>
        <w:t>Recital 78</w:t>
      </w:r>
      <w:r w:rsidRPr="00167FCB">
        <w:rPr>
          <w:rFonts w:ascii="Times New Roman" w:eastAsia="Times New Roman" w:hAnsi="Times New Roman" w:cs="Times New Roman"/>
          <w:kern w:val="0"/>
          <w14:ligatures w14:val="none"/>
        </w:rPr>
        <w:t>).</w:t>
      </w:r>
    </w:p>
    <w:p w14:paraId="7CB0F4FB"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Recital 75–76</w:t>
      </w:r>
      <w:r w:rsidRPr="00167FCB">
        <w:rPr>
          <w:rFonts w:ascii="Times New Roman" w:eastAsia="Times New Roman" w:hAnsi="Times New Roman" w:cs="Times New Roman"/>
          <w:kern w:val="0"/>
          <w14:ligatures w14:val="none"/>
        </w:rPr>
        <w:t xml:space="preserve"> require the controller to consider risks to the rights and freedoms of natural persons when determining the appropriate level of accountability and measures.</w:t>
      </w:r>
    </w:p>
    <w:p w14:paraId="2BB33FAA"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 xml:space="preserve">Failure to comply with accountability obligations constitutes an infringement subject to administrative fines under </w:t>
      </w:r>
      <w:r w:rsidRPr="00167FCB">
        <w:rPr>
          <w:rFonts w:ascii="Times New Roman" w:eastAsia="Times New Roman" w:hAnsi="Times New Roman" w:cs="Times New Roman"/>
          <w:b/>
          <w:bCs/>
          <w:kern w:val="0"/>
          <w14:ligatures w14:val="none"/>
        </w:rPr>
        <w:t>Article 83(5)(a)</w:t>
      </w:r>
      <w:r w:rsidRPr="00167FCB">
        <w:rPr>
          <w:rFonts w:ascii="Times New Roman" w:eastAsia="Times New Roman" w:hAnsi="Times New Roman" w:cs="Times New Roman"/>
          <w:kern w:val="0"/>
          <w14:ligatures w14:val="none"/>
        </w:rPr>
        <w:t>.</w:t>
      </w:r>
    </w:p>
    <w:p w14:paraId="169E279D" w14:textId="77777777" w:rsidR="00167FCB" w:rsidRPr="00167FCB" w:rsidRDefault="0058536C" w:rsidP="00167FCB">
      <w:pPr>
        <w:spacing w:after="0" w:line="240" w:lineRule="auto"/>
        <w:rPr>
          <w:rFonts w:ascii="Times New Roman" w:eastAsia="Times New Roman" w:hAnsi="Times New Roman" w:cs="Times New Roman"/>
          <w:kern w:val="0"/>
          <w14:ligatures w14:val="none"/>
        </w:rPr>
      </w:pPr>
      <w:r w:rsidRPr="0058536C">
        <w:rPr>
          <w:rFonts w:ascii="Times New Roman" w:eastAsia="Times New Roman" w:hAnsi="Times New Roman" w:cs="Times New Roman"/>
          <w:noProof/>
          <w:kern w:val="0"/>
        </w:rPr>
        <w:lastRenderedPageBreak/>
        <w:pict w14:anchorId="19E22495">
          <v:rect id="_x0000_i1026" alt="" style="width:468pt;height:.05pt;mso-width-percent:0;mso-height-percent:0;mso-width-percent:0;mso-height-percent:0" o:hralign="center" o:hrstd="t" o:hr="t" fillcolor="#a0a0a0" stroked="f"/>
        </w:pict>
      </w:r>
    </w:p>
    <w:p w14:paraId="4C62771E" w14:textId="77777777" w:rsidR="00167FCB" w:rsidRDefault="00167FCB" w:rsidP="00167FCB">
      <w:pPr>
        <w:spacing w:after="0" w:line="240" w:lineRule="auto"/>
        <w:outlineLvl w:val="1"/>
        <w:rPr>
          <w:rFonts w:ascii="Times New Roman" w:eastAsia="Times New Roman" w:hAnsi="Times New Roman" w:cs="Times New Roman"/>
          <w:b/>
          <w:bCs/>
          <w:kern w:val="0"/>
          <w14:ligatures w14:val="none"/>
        </w:rPr>
      </w:pPr>
      <w:r w:rsidRPr="00167FCB">
        <w:rPr>
          <w:rFonts w:ascii="Times New Roman" w:eastAsia="Times New Roman" w:hAnsi="Times New Roman" w:cs="Times New Roman"/>
          <w:b/>
          <w:bCs/>
          <w:kern w:val="0"/>
          <w14:ligatures w14:val="none"/>
        </w:rPr>
        <w:t>STEP 4: Rewrite as a logical rule</w:t>
      </w:r>
    </w:p>
    <w:p w14:paraId="34889742" w14:textId="77777777" w:rsidR="00167FCB" w:rsidRPr="00167FCB" w:rsidRDefault="00167FCB" w:rsidP="00167FCB">
      <w:pPr>
        <w:spacing w:after="0" w:line="240" w:lineRule="auto"/>
        <w:outlineLvl w:val="1"/>
        <w:rPr>
          <w:rFonts w:ascii="Times New Roman" w:eastAsia="Times New Roman" w:hAnsi="Times New Roman" w:cs="Times New Roman"/>
          <w:b/>
          <w:bCs/>
          <w:kern w:val="0"/>
          <w14:ligatures w14:val="none"/>
        </w:rPr>
      </w:pPr>
    </w:p>
    <w:p w14:paraId="7880A5DE" w14:textId="131FE94C"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Conclusion:</w:t>
      </w:r>
      <w:r w:rsidRPr="00167FCB">
        <w:rPr>
          <w:rFonts w:ascii="Times New Roman" w:eastAsia="Times New Roman" w:hAnsi="Times New Roman" w:cs="Times New Roman"/>
          <w:kern w:val="0"/>
          <w14:ligatures w14:val="none"/>
        </w:rPr>
        <w:br/>
        <w:t xml:space="preserve">A controller’s processing of personal data </w:t>
      </w:r>
      <w:r w:rsidRPr="00167FCB">
        <w:rPr>
          <w:rFonts w:ascii="Times New Roman" w:eastAsia="Times New Roman" w:hAnsi="Times New Roman" w:cs="Times New Roman"/>
          <w:b/>
          <w:bCs/>
          <w:kern w:val="0"/>
          <w14:ligatures w14:val="none"/>
        </w:rPr>
        <w:t>is lawful under GDPR accountability principle</w:t>
      </w:r>
      <w:r w:rsidRPr="00167FCB">
        <w:rPr>
          <w:rFonts w:ascii="Times New Roman" w:eastAsia="Times New Roman" w:hAnsi="Times New Roman" w:cs="Times New Roman"/>
          <w:kern w:val="0"/>
          <w14:ligatures w14:val="none"/>
        </w:rPr>
        <w:br/>
      </w:r>
      <w:r w:rsidRPr="00167FCB">
        <w:rPr>
          <w:rFonts w:ascii="Times New Roman" w:eastAsia="Times New Roman" w:hAnsi="Times New Roman" w:cs="Times New Roman"/>
          <w:b/>
          <w:bCs/>
          <w:kern w:val="0"/>
          <w14:ligatures w14:val="none"/>
        </w:rPr>
        <w:t xml:space="preserve">IF </w:t>
      </w:r>
    </w:p>
    <w:p w14:paraId="7A682C08" w14:textId="77777777" w:rsidR="00167FCB" w:rsidRPr="00167FCB" w:rsidRDefault="00167FCB" w:rsidP="00167FCB">
      <w:pPr>
        <w:numPr>
          <w:ilvl w:val="0"/>
          <w:numId w:val="35"/>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the controller ensures compliance with all principles in Article 5(1)</w:t>
      </w:r>
      <w:r w:rsidRPr="00167FCB">
        <w:rPr>
          <w:rFonts w:ascii="Times New Roman" w:eastAsia="Times New Roman" w:hAnsi="Times New Roman" w:cs="Times New Roman"/>
          <w:kern w:val="0"/>
          <w14:ligatures w14:val="none"/>
        </w:rPr>
        <w:br/>
      </w:r>
      <w:r w:rsidRPr="00167FCB">
        <w:rPr>
          <w:rFonts w:ascii="Times New Roman" w:eastAsia="Times New Roman" w:hAnsi="Times New Roman" w:cs="Times New Roman"/>
          <w:b/>
          <w:bCs/>
          <w:kern w:val="0"/>
          <w14:ligatures w14:val="none"/>
        </w:rPr>
        <w:t>AND</w:t>
      </w:r>
    </w:p>
    <w:p w14:paraId="096E2ED0" w14:textId="77777777" w:rsidR="00167FCB" w:rsidRPr="00167FCB" w:rsidRDefault="00167FCB" w:rsidP="00167FCB">
      <w:pPr>
        <w:numPr>
          <w:ilvl w:val="0"/>
          <w:numId w:val="35"/>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 xml:space="preserve">the controller can </w:t>
      </w:r>
      <w:r w:rsidRPr="00167FCB">
        <w:rPr>
          <w:rFonts w:ascii="Times New Roman" w:eastAsia="Times New Roman" w:hAnsi="Times New Roman" w:cs="Times New Roman"/>
          <w:b/>
          <w:bCs/>
          <w:kern w:val="0"/>
          <w14:ligatures w14:val="none"/>
        </w:rPr>
        <w:t>demonstrate</w:t>
      </w:r>
      <w:r w:rsidRPr="00167FCB">
        <w:rPr>
          <w:rFonts w:ascii="Times New Roman" w:eastAsia="Times New Roman" w:hAnsi="Times New Roman" w:cs="Times New Roman"/>
          <w:kern w:val="0"/>
          <w14:ligatures w14:val="none"/>
        </w:rPr>
        <w:t xml:space="preserve"> such compliance through appropriate documentation, measures, and procedures</w:t>
      </w:r>
      <w:r w:rsidRPr="00167FCB">
        <w:rPr>
          <w:rFonts w:ascii="Times New Roman" w:eastAsia="Times New Roman" w:hAnsi="Times New Roman" w:cs="Times New Roman"/>
          <w:kern w:val="0"/>
          <w14:ligatures w14:val="none"/>
        </w:rPr>
        <w:br/>
      </w:r>
      <w:r w:rsidRPr="00167FCB">
        <w:rPr>
          <w:rFonts w:ascii="Times New Roman" w:eastAsia="Times New Roman" w:hAnsi="Times New Roman" w:cs="Times New Roman"/>
          <w:b/>
          <w:bCs/>
          <w:kern w:val="0"/>
          <w14:ligatures w14:val="none"/>
        </w:rPr>
        <w:t>AND</w:t>
      </w:r>
    </w:p>
    <w:p w14:paraId="6306976F" w14:textId="77777777" w:rsidR="00167FCB" w:rsidRPr="00167FCB" w:rsidRDefault="00167FCB" w:rsidP="00167FCB">
      <w:pPr>
        <w:numPr>
          <w:ilvl w:val="0"/>
          <w:numId w:val="35"/>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the level and form of measures are proportionate to the risks involved (Recital 76, Article 24)</w:t>
      </w:r>
      <w:r w:rsidRPr="00167FCB">
        <w:rPr>
          <w:rFonts w:ascii="Times New Roman" w:eastAsia="Times New Roman" w:hAnsi="Times New Roman" w:cs="Times New Roman"/>
          <w:kern w:val="0"/>
          <w14:ligatures w14:val="none"/>
        </w:rPr>
        <w:br/>
      </w:r>
      <w:r w:rsidRPr="00167FCB">
        <w:rPr>
          <w:rFonts w:ascii="Times New Roman" w:eastAsia="Times New Roman" w:hAnsi="Times New Roman" w:cs="Times New Roman"/>
          <w:b/>
          <w:bCs/>
          <w:kern w:val="0"/>
          <w14:ligatures w14:val="none"/>
        </w:rPr>
        <w:t>AND</w:t>
      </w:r>
    </w:p>
    <w:p w14:paraId="0EEC6E2B" w14:textId="77777777" w:rsidR="00167FCB" w:rsidRPr="00167FCB" w:rsidRDefault="00167FCB" w:rsidP="00167FCB">
      <w:pPr>
        <w:numPr>
          <w:ilvl w:val="0"/>
          <w:numId w:val="35"/>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evidence of compliance may include records, certifications, or adherence to codes of conduct.</w:t>
      </w:r>
    </w:p>
    <w:p w14:paraId="1F4B303B" w14:textId="77777777" w:rsidR="00167FCB" w:rsidRPr="00167FCB" w:rsidRDefault="0058536C" w:rsidP="00167FCB">
      <w:pPr>
        <w:spacing w:after="0" w:line="240" w:lineRule="auto"/>
        <w:rPr>
          <w:rFonts w:ascii="Times New Roman" w:eastAsia="Times New Roman" w:hAnsi="Times New Roman" w:cs="Times New Roman"/>
          <w:kern w:val="0"/>
          <w14:ligatures w14:val="none"/>
        </w:rPr>
      </w:pPr>
      <w:r w:rsidRPr="0058536C">
        <w:rPr>
          <w:rFonts w:ascii="Times New Roman" w:eastAsia="Times New Roman" w:hAnsi="Times New Roman" w:cs="Times New Roman"/>
          <w:noProof/>
          <w:kern w:val="0"/>
        </w:rPr>
        <w:pict w14:anchorId="3053A58B">
          <v:rect id="_x0000_i1025" alt="" style="width:468pt;height:.05pt;mso-width-percent:0;mso-height-percent:0;mso-width-percent:0;mso-height-percent:0" o:hralign="center" o:hrstd="t" o:hr="t" fillcolor="#a0a0a0" stroked="f"/>
        </w:pict>
      </w:r>
    </w:p>
    <w:p w14:paraId="2285FB49" w14:textId="77777777" w:rsidR="00167FCB" w:rsidRPr="00167FCB" w:rsidRDefault="00167FCB" w:rsidP="00167FCB">
      <w:p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b/>
          <w:bCs/>
          <w:kern w:val="0"/>
          <w14:ligatures w14:val="none"/>
        </w:rPr>
        <w:t>Exceptions to the rule:</w:t>
      </w:r>
    </w:p>
    <w:p w14:paraId="0905EDAC" w14:textId="77777777" w:rsidR="00167FCB" w:rsidRPr="00167FCB" w:rsidRDefault="00167FCB" w:rsidP="00167FCB">
      <w:pPr>
        <w:numPr>
          <w:ilvl w:val="0"/>
          <w:numId w:val="36"/>
        </w:numPr>
        <w:spacing w:after="0" w:line="240" w:lineRule="auto"/>
        <w:rPr>
          <w:rFonts w:ascii="Times New Roman" w:eastAsia="Times New Roman" w:hAnsi="Times New Roman" w:cs="Times New Roman"/>
          <w:kern w:val="0"/>
          <w14:ligatures w14:val="none"/>
        </w:rPr>
      </w:pPr>
      <w:r w:rsidRPr="00167FCB">
        <w:rPr>
          <w:rFonts w:ascii="Times New Roman" w:eastAsia="Times New Roman" w:hAnsi="Times New Roman" w:cs="Times New Roman"/>
          <w:kern w:val="0"/>
          <w14:ligatures w14:val="none"/>
        </w:rPr>
        <w:t>None explicitly stated in Article 5(2), but exceptions arise indirectly when other GDPR provisions create lawful grounds for processing even under limited accountability (e.g., specific exemptions in Articles 85–91, or processing by competent authorities under Regulation (EU) 2016/680).</w:t>
      </w:r>
    </w:p>
    <w:p w14:paraId="3E4F24DF" w14:textId="77777777" w:rsidR="00167FCB" w:rsidRPr="00167FCB" w:rsidRDefault="00167FCB" w:rsidP="00167FCB">
      <w:pPr>
        <w:spacing w:after="0" w:line="240" w:lineRule="auto"/>
        <w:rPr>
          <w:rFonts w:ascii="Times New Roman" w:hAnsi="Times New Roman" w:cs="Times New Roman"/>
          <w:b/>
          <w:bCs/>
          <w:u w:val="single"/>
        </w:rPr>
      </w:pPr>
    </w:p>
    <w:p w14:paraId="0FC475B6" w14:textId="77777777" w:rsidR="00CB6C10" w:rsidRPr="00167FCB" w:rsidRDefault="00CB6C10" w:rsidP="00167FCB">
      <w:pPr>
        <w:spacing w:after="0" w:line="240" w:lineRule="auto"/>
        <w:rPr>
          <w:rFonts w:ascii="Times New Roman" w:hAnsi="Times New Roman" w:cs="Times New Roman"/>
          <w:b/>
          <w:bCs/>
          <w:u w:val="single"/>
        </w:rPr>
      </w:pPr>
    </w:p>
    <w:p w14:paraId="7A28FD8D" w14:textId="77777777" w:rsidR="00CB6C10" w:rsidRPr="00167FCB" w:rsidRDefault="00CB6C10" w:rsidP="00167FCB">
      <w:pPr>
        <w:spacing w:after="0" w:line="240" w:lineRule="auto"/>
        <w:rPr>
          <w:rFonts w:ascii="Times New Roman" w:hAnsi="Times New Roman" w:cs="Times New Roman"/>
          <w:b/>
          <w:bCs/>
          <w:u w:val="single"/>
        </w:rPr>
      </w:pPr>
    </w:p>
    <w:sectPr w:rsidR="00CB6C10" w:rsidRPr="00167FCB" w:rsidSect="00F63D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C09"/>
    <w:multiLevelType w:val="multilevel"/>
    <w:tmpl w:val="510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B88"/>
    <w:multiLevelType w:val="multilevel"/>
    <w:tmpl w:val="FE7C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A675A"/>
    <w:multiLevelType w:val="multilevel"/>
    <w:tmpl w:val="771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E224D"/>
    <w:multiLevelType w:val="multilevel"/>
    <w:tmpl w:val="314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16537"/>
    <w:multiLevelType w:val="multilevel"/>
    <w:tmpl w:val="5B54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33A0B"/>
    <w:multiLevelType w:val="multilevel"/>
    <w:tmpl w:val="F6D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73570"/>
    <w:multiLevelType w:val="multilevel"/>
    <w:tmpl w:val="90D6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47589"/>
    <w:multiLevelType w:val="multilevel"/>
    <w:tmpl w:val="93800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30F16"/>
    <w:multiLevelType w:val="multilevel"/>
    <w:tmpl w:val="EC7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91711"/>
    <w:multiLevelType w:val="multilevel"/>
    <w:tmpl w:val="3A5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5722D"/>
    <w:multiLevelType w:val="multilevel"/>
    <w:tmpl w:val="CDF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22E4C"/>
    <w:multiLevelType w:val="multilevel"/>
    <w:tmpl w:val="B9D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63D69"/>
    <w:multiLevelType w:val="multilevel"/>
    <w:tmpl w:val="584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81C1D"/>
    <w:multiLevelType w:val="multilevel"/>
    <w:tmpl w:val="991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B1BB1"/>
    <w:multiLevelType w:val="multilevel"/>
    <w:tmpl w:val="192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047F3"/>
    <w:multiLevelType w:val="multilevel"/>
    <w:tmpl w:val="14D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35099"/>
    <w:multiLevelType w:val="multilevel"/>
    <w:tmpl w:val="AD36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4760C"/>
    <w:multiLevelType w:val="multilevel"/>
    <w:tmpl w:val="1E32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0675B"/>
    <w:multiLevelType w:val="multilevel"/>
    <w:tmpl w:val="BF9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42ACB"/>
    <w:multiLevelType w:val="multilevel"/>
    <w:tmpl w:val="ABFA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C5D9B"/>
    <w:multiLevelType w:val="multilevel"/>
    <w:tmpl w:val="BAF03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65E43"/>
    <w:multiLevelType w:val="multilevel"/>
    <w:tmpl w:val="123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92D94"/>
    <w:multiLevelType w:val="multilevel"/>
    <w:tmpl w:val="92C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82EA5"/>
    <w:multiLevelType w:val="multilevel"/>
    <w:tmpl w:val="3B3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26EE9"/>
    <w:multiLevelType w:val="multilevel"/>
    <w:tmpl w:val="7AB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40046"/>
    <w:multiLevelType w:val="multilevel"/>
    <w:tmpl w:val="5E1E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31061D"/>
    <w:multiLevelType w:val="multilevel"/>
    <w:tmpl w:val="507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32A05"/>
    <w:multiLevelType w:val="multilevel"/>
    <w:tmpl w:val="6B9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B7CB2"/>
    <w:multiLevelType w:val="multilevel"/>
    <w:tmpl w:val="065E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175CBB"/>
    <w:multiLevelType w:val="multilevel"/>
    <w:tmpl w:val="7F0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83115"/>
    <w:multiLevelType w:val="multilevel"/>
    <w:tmpl w:val="4592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52192A"/>
    <w:multiLevelType w:val="multilevel"/>
    <w:tmpl w:val="24C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92526"/>
    <w:multiLevelType w:val="multilevel"/>
    <w:tmpl w:val="9696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76027"/>
    <w:multiLevelType w:val="multilevel"/>
    <w:tmpl w:val="F53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D7B6D"/>
    <w:multiLevelType w:val="multilevel"/>
    <w:tmpl w:val="D1A0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15551E"/>
    <w:multiLevelType w:val="multilevel"/>
    <w:tmpl w:val="3F4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0046">
    <w:abstractNumId w:val="5"/>
  </w:num>
  <w:num w:numId="2" w16cid:durableId="1542553208">
    <w:abstractNumId w:val="27"/>
  </w:num>
  <w:num w:numId="3" w16cid:durableId="1109859430">
    <w:abstractNumId w:val="9"/>
  </w:num>
  <w:num w:numId="4" w16cid:durableId="215941873">
    <w:abstractNumId w:val="19"/>
  </w:num>
  <w:num w:numId="5" w16cid:durableId="73170750">
    <w:abstractNumId w:val="23"/>
  </w:num>
  <w:num w:numId="6" w16cid:durableId="1777484996">
    <w:abstractNumId w:val="29"/>
  </w:num>
  <w:num w:numId="7" w16cid:durableId="21327629">
    <w:abstractNumId w:val="26"/>
  </w:num>
  <w:num w:numId="8" w16cid:durableId="432481982">
    <w:abstractNumId w:val="7"/>
  </w:num>
  <w:num w:numId="9" w16cid:durableId="1875851885">
    <w:abstractNumId w:val="34"/>
  </w:num>
  <w:num w:numId="10" w16cid:durableId="1890339722">
    <w:abstractNumId w:val="13"/>
  </w:num>
  <w:num w:numId="11" w16cid:durableId="1038509863">
    <w:abstractNumId w:val="16"/>
  </w:num>
  <w:num w:numId="12" w16cid:durableId="1599407660">
    <w:abstractNumId w:val="3"/>
  </w:num>
  <w:num w:numId="13" w16cid:durableId="1548758439">
    <w:abstractNumId w:val="33"/>
  </w:num>
  <w:num w:numId="14" w16cid:durableId="2133209257">
    <w:abstractNumId w:val="2"/>
  </w:num>
  <w:num w:numId="15" w16cid:durableId="182138486">
    <w:abstractNumId w:val="35"/>
  </w:num>
  <w:num w:numId="16" w16cid:durableId="600913003">
    <w:abstractNumId w:val="6"/>
  </w:num>
  <w:num w:numId="17" w16cid:durableId="1966307611">
    <w:abstractNumId w:val="14"/>
  </w:num>
  <w:num w:numId="18" w16cid:durableId="1914849323">
    <w:abstractNumId w:val="20"/>
  </w:num>
  <w:num w:numId="19" w16cid:durableId="964851810">
    <w:abstractNumId w:val="28"/>
  </w:num>
  <w:num w:numId="20" w16cid:durableId="2000034893">
    <w:abstractNumId w:val="8"/>
  </w:num>
  <w:num w:numId="21" w16cid:durableId="1371299787">
    <w:abstractNumId w:val="32"/>
  </w:num>
  <w:num w:numId="22" w16cid:durableId="708451227">
    <w:abstractNumId w:val="0"/>
  </w:num>
  <w:num w:numId="23" w16cid:durableId="824469331">
    <w:abstractNumId w:val="15"/>
  </w:num>
  <w:num w:numId="24" w16cid:durableId="1241065851">
    <w:abstractNumId w:val="30"/>
  </w:num>
  <w:num w:numId="25" w16cid:durableId="1336347697">
    <w:abstractNumId w:val="11"/>
  </w:num>
  <w:num w:numId="26" w16cid:durableId="1930192791">
    <w:abstractNumId w:val="25"/>
  </w:num>
  <w:num w:numId="27" w16cid:durableId="1033311737">
    <w:abstractNumId w:val="21"/>
  </w:num>
  <w:num w:numId="28" w16cid:durableId="1478188902">
    <w:abstractNumId w:val="12"/>
  </w:num>
  <w:num w:numId="29" w16cid:durableId="1845124353">
    <w:abstractNumId w:val="4"/>
  </w:num>
  <w:num w:numId="30" w16cid:durableId="613439211">
    <w:abstractNumId w:val="18"/>
  </w:num>
  <w:num w:numId="31" w16cid:durableId="277300199">
    <w:abstractNumId w:val="22"/>
  </w:num>
  <w:num w:numId="32" w16cid:durableId="853958107">
    <w:abstractNumId w:val="17"/>
  </w:num>
  <w:num w:numId="33" w16cid:durableId="1520971989">
    <w:abstractNumId w:val="31"/>
  </w:num>
  <w:num w:numId="34" w16cid:durableId="383525147">
    <w:abstractNumId w:val="10"/>
  </w:num>
  <w:num w:numId="35" w16cid:durableId="1716808897">
    <w:abstractNumId w:val="24"/>
  </w:num>
  <w:num w:numId="36" w16cid:durableId="1487742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60"/>
    <w:rsid w:val="000C4D38"/>
    <w:rsid w:val="001213D7"/>
    <w:rsid w:val="0015597A"/>
    <w:rsid w:val="00167FCB"/>
    <w:rsid w:val="001B55F6"/>
    <w:rsid w:val="001F5015"/>
    <w:rsid w:val="0022098F"/>
    <w:rsid w:val="00226678"/>
    <w:rsid w:val="0024534E"/>
    <w:rsid w:val="00252376"/>
    <w:rsid w:val="002524EF"/>
    <w:rsid w:val="002B54A0"/>
    <w:rsid w:val="002C0BC2"/>
    <w:rsid w:val="002D7B9C"/>
    <w:rsid w:val="003232A4"/>
    <w:rsid w:val="00337EF8"/>
    <w:rsid w:val="00393F0C"/>
    <w:rsid w:val="003F0814"/>
    <w:rsid w:val="0058536C"/>
    <w:rsid w:val="00691C0C"/>
    <w:rsid w:val="006C2607"/>
    <w:rsid w:val="006F7E46"/>
    <w:rsid w:val="007B1F99"/>
    <w:rsid w:val="007F01F9"/>
    <w:rsid w:val="008A0ECB"/>
    <w:rsid w:val="008F4577"/>
    <w:rsid w:val="00955679"/>
    <w:rsid w:val="00957B7D"/>
    <w:rsid w:val="00A86605"/>
    <w:rsid w:val="00BA5160"/>
    <w:rsid w:val="00BB48C6"/>
    <w:rsid w:val="00BF3DE0"/>
    <w:rsid w:val="00C508EC"/>
    <w:rsid w:val="00C51060"/>
    <w:rsid w:val="00C56F9F"/>
    <w:rsid w:val="00C72D5C"/>
    <w:rsid w:val="00CA3D6A"/>
    <w:rsid w:val="00CB252F"/>
    <w:rsid w:val="00CB6C10"/>
    <w:rsid w:val="00D0616B"/>
    <w:rsid w:val="00D56254"/>
    <w:rsid w:val="00DB531D"/>
    <w:rsid w:val="00DC38FE"/>
    <w:rsid w:val="00E1735C"/>
    <w:rsid w:val="00E25E12"/>
    <w:rsid w:val="00ED6814"/>
    <w:rsid w:val="00F056C2"/>
    <w:rsid w:val="00F12FFE"/>
    <w:rsid w:val="00F329CE"/>
    <w:rsid w:val="00F63D29"/>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3C06"/>
  <w15:chartTrackingRefBased/>
  <w15:docId w15:val="{9E4D4767-03FA-1B4C-B171-499DB086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51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60"/>
    <w:rPr>
      <w:rFonts w:eastAsiaTheme="majorEastAsia" w:cstheme="majorBidi"/>
      <w:color w:val="272727" w:themeColor="text1" w:themeTint="D8"/>
    </w:rPr>
  </w:style>
  <w:style w:type="paragraph" w:styleId="Title">
    <w:name w:val="Title"/>
    <w:basedOn w:val="Normal"/>
    <w:next w:val="Normal"/>
    <w:link w:val="TitleChar"/>
    <w:uiPriority w:val="10"/>
    <w:qFormat/>
    <w:rsid w:val="00C5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60"/>
    <w:pPr>
      <w:spacing w:before="160"/>
      <w:jc w:val="center"/>
    </w:pPr>
    <w:rPr>
      <w:i/>
      <w:iCs/>
      <w:color w:val="404040" w:themeColor="text1" w:themeTint="BF"/>
    </w:rPr>
  </w:style>
  <w:style w:type="character" w:customStyle="1" w:styleId="QuoteChar">
    <w:name w:val="Quote Char"/>
    <w:basedOn w:val="DefaultParagraphFont"/>
    <w:link w:val="Quote"/>
    <w:uiPriority w:val="29"/>
    <w:rsid w:val="00C51060"/>
    <w:rPr>
      <w:rFonts w:cs="Arial Unicode MS"/>
      <w:i/>
      <w:iCs/>
      <w:color w:val="404040" w:themeColor="text1" w:themeTint="BF"/>
    </w:rPr>
  </w:style>
  <w:style w:type="paragraph" w:styleId="ListParagraph">
    <w:name w:val="List Paragraph"/>
    <w:basedOn w:val="Normal"/>
    <w:uiPriority w:val="34"/>
    <w:qFormat/>
    <w:rsid w:val="00C51060"/>
    <w:pPr>
      <w:ind w:left="720"/>
      <w:contextualSpacing/>
    </w:pPr>
  </w:style>
  <w:style w:type="character" w:styleId="IntenseEmphasis">
    <w:name w:val="Intense Emphasis"/>
    <w:basedOn w:val="DefaultParagraphFont"/>
    <w:uiPriority w:val="21"/>
    <w:qFormat/>
    <w:rsid w:val="00C51060"/>
    <w:rPr>
      <w:i/>
      <w:iCs/>
      <w:color w:val="0F4761" w:themeColor="accent1" w:themeShade="BF"/>
    </w:rPr>
  </w:style>
  <w:style w:type="paragraph" w:styleId="IntenseQuote">
    <w:name w:val="Intense Quote"/>
    <w:basedOn w:val="Normal"/>
    <w:next w:val="Normal"/>
    <w:link w:val="IntenseQuoteChar"/>
    <w:uiPriority w:val="30"/>
    <w:qFormat/>
    <w:rsid w:val="00C5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60"/>
    <w:rPr>
      <w:rFonts w:cs="Arial Unicode MS"/>
      <w:i/>
      <w:iCs/>
      <w:color w:val="0F4761" w:themeColor="accent1" w:themeShade="BF"/>
    </w:rPr>
  </w:style>
  <w:style w:type="character" w:styleId="IntenseReference">
    <w:name w:val="Intense Reference"/>
    <w:basedOn w:val="DefaultParagraphFont"/>
    <w:uiPriority w:val="32"/>
    <w:qFormat/>
    <w:rsid w:val="00C51060"/>
    <w:rPr>
      <w:b/>
      <w:bCs/>
      <w:smallCaps/>
      <w:color w:val="0F4761" w:themeColor="accent1" w:themeShade="BF"/>
      <w:spacing w:val="5"/>
    </w:rPr>
  </w:style>
  <w:style w:type="paragraph" w:styleId="NormalWeb">
    <w:name w:val="Normal (Web)"/>
    <w:basedOn w:val="Normal"/>
    <w:uiPriority w:val="99"/>
    <w:unhideWhenUsed/>
    <w:rsid w:val="00C510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060"/>
    <w:rPr>
      <w:b/>
      <w:bCs/>
    </w:rPr>
  </w:style>
  <w:style w:type="character" w:styleId="Emphasis">
    <w:name w:val="Emphasis"/>
    <w:basedOn w:val="DefaultParagraphFont"/>
    <w:uiPriority w:val="20"/>
    <w:qFormat/>
    <w:rsid w:val="00337EF8"/>
    <w:rPr>
      <w:i/>
      <w:iCs/>
    </w:rPr>
  </w:style>
  <w:style w:type="character" w:styleId="Hyperlink">
    <w:name w:val="Hyperlink"/>
    <w:basedOn w:val="DefaultParagraphFont"/>
    <w:uiPriority w:val="99"/>
    <w:unhideWhenUsed/>
    <w:rsid w:val="00DC38FE"/>
    <w:rPr>
      <w:color w:val="467886" w:themeColor="hyperlink"/>
      <w:u w:val="single"/>
    </w:rPr>
  </w:style>
  <w:style w:type="character" w:styleId="UnresolvedMention">
    <w:name w:val="Unresolved Mention"/>
    <w:basedOn w:val="DefaultParagraphFont"/>
    <w:uiPriority w:val="99"/>
    <w:semiHidden/>
    <w:unhideWhenUsed/>
    <w:rsid w:val="00DC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6</cp:revision>
  <dcterms:created xsi:type="dcterms:W3CDTF">2025-11-05T23:23:00Z</dcterms:created>
  <dcterms:modified xsi:type="dcterms:W3CDTF">2025-11-05T23:28:00Z</dcterms:modified>
</cp:coreProperties>
</file>