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EFA78" w14:textId="7AD96443" w:rsidR="006C2607" w:rsidRPr="00381CE2" w:rsidRDefault="00381CE2">
      <w:pPr>
        <w:rPr>
          <w:rFonts w:ascii="Times New Roman" w:hAnsi="Times New Roman" w:cs="Times New Roman"/>
          <w:b/>
          <w:bCs/>
          <w:sz w:val="36"/>
          <w:szCs w:val="36"/>
          <w:u w:val="single"/>
          <w:lang w:val="en-US"/>
        </w:rPr>
      </w:pPr>
      <w:r w:rsidRPr="00381CE2">
        <w:rPr>
          <w:rFonts w:ascii="Times New Roman" w:hAnsi="Times New Roman" w:cs="Times New Roman"/>
          <w:b/>
          <w:bCs/>
          <w:sz w:val="36"/>
          <w:szCs w:val="36"/>
          <w:u w:val="single"/>
          <w:lang w:val="en-US"/>
        </w:rPr>
        <w:t>GDPR Article 5</w:t>
      </w:r>
    </w:p>
    <w:p w14:paraId="4E734EEA" w14:textId="6703C5DE" w:rsidR="00381CE2" w:rsidRDefault="00413976">
      <w:pPr>
        <w:rPr>
          <w:lang w:val="en-US"/>
        </w:rPr>
      </w:pPr>
      <w:hyperlink r:id="rId5" w:history="1">
        <w:r w:rsidRPr="00860564">
          <w:rPr>
            <w:rStyle w:val="Hyperlink"/>
            <w:lang w:val="en-US"/>
          </w:rPr>
          <w:t>https://chatgpt.com/share/690bc329-d120-8008-abe7-edae54a16693</w:t>
        </w:r>
      </w:hyperlink>
    </w:p>
    <w:p w14:paraId="1FAA77E1" w14:textId="77777777" w:rsidR="00381CE2" w:rsidRPr="00381CE2" w:rsidRDefault="00381CE2" w:rsidP="00381C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1CE2">
        <w:rPr>
          <w:rFonts w:ascii="Times New Roman" w:eastAsia="Times New Roman" w:hAnsi="Times New Roman" w:cs="Times New Roman"/>
          <w:b/>
          <w:bCs/>
          <w:kern w:val="0"/>
          <w:sz w:val="36"/>
          <w:szCs w:val="36"/>
          <w14:ligatures w14:val="none"/>
        </w:rPr>
        <w:t>STEP 1 – Identify Relevant Recitals</w:t>
      </w:r>
    </w:p>
    <w:p w14:paraId="69C5C648" w14:textId="77777777" w:rsidR="00381CE2" w:rsidRPr="00381CE2" w:rsidRDefault="00381CE2" w:rsidP="00381CE2">
      <w:pPr>
        <w:spacing w:before="100" w:beforeAutospacing="1" w:after="100" w:afterAutospacing="1"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 xml:space="preserve">The following GDPR </w:t>
      </w:r>
      <w:r w:rsidRPr="00381CE2">
        <w:rPr>
          <w:rFonts w:ascii="Times New Roman" w:eastAsia="Times New Roman" w:hAnsi="Times New Roman" w:cs="Times New Roman"/>
          <w:b/>
          <w:bCs/>
          <w:kern w:val="0"/>
          <w14:ligatures w14:val="none"/>
        </w:rPr>
        <w:t>Recitals</w:t>
      </w:r>
      <w:r w:rsidRPr="00381CE2">
        <w:rPr>
          <w:rFonts w:ascii="Times New Roman" w:eastAsia="Times New Roman" w:hAnsi="Times New Roman" w:cs="Times New Roman"/>
          <w:kern w:val="0"/>
          <w14:ligatures w14:val="none"/>
        </w:rPr>
        <w:t xml:space="preserve"> directly interpret, explain, or are referenced by Article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8010"/>
      </w:tblGrid>
      <w:tr w:rsidR="00381CE2" w:rsidRPr="00381CE2" w14:paraId="67CF8975" w14:textId="77777777" w:rsidTr="00381CE2">
        <w:trPr>
          <w:tblHeader/>
          <w:tblCellSpacing w:w="15" w:type="dxa"/>
        </w:trPr>
        <w:tc>
          <w:tcPr>
            <w:tcW w:w="1305" w:type="dxa"/>
            <w:vAlign w:val="center"/>
            <w:hideMark/>
          </w:tcPr>
          <w:p w14:paraId="6354A64D" w14:textId="77777777" w:rsidR="00381CE2" w:rsidRPr="00381CE2" w:rsidRDefault="00381CE2" w:rsidP="00381CE2">
            <w:pPr>
              <w:spacing w:after="0" w:line="240" w:lineRule="auto"/>
              <w:jc w:val="center"/>
              <w:rPr>
                <w:rFonts w:ascii="Times New Roman" w:eastAsia="Times New Roman" w:hAnsi="Times New Roman" w:cs="Times New Roman"/>
                <w:b/>
                <w:bCs/>
                <w:kern w:val="0"/>
                <w14:ligatures w14:val="none"/>
              </w:rPr>
            </w:pPr>
            <w:r w:rsidRPr="00381CE2">
              <w:rPr>
                <w:rFonts w:ascii="Times New Roman" w:eastAsia="Times New Roman" w:hAnsi="Times New Roman" w:cs="Times New Roman"/>
                <w:b/>
                <w:bCs/>
                <w:kern w:val="0"/>
                <w14:ligatures w14:val="none"/>
              </w:rPr>
              <w:t>Recital No.</w:t>
            </w:r>
          </w:p>
        </w:tc>
        <w:tc>
          <w:tcPr>
            <w:tcW w:w="7965" w:type="dxa"/>
            <w:vAlign w:val="center"/>
            <w:hideMark/>
          </w:tcPr>
          <w:p w14:paraId="417CB243" w14:textId="77777777" w:rsidR="00381CE2" w:rsidRPr="00381CE2" w:rsidRDefault="00381CE2" w:rsidP="00381CE2">
            <w:pPr>
              <w:spacing w:after="0" w:line="240" w:lineRule="auto"/>
              <w:jc w:val="center"/>
              <w:rPr>
                <w:rFonts w:ascii="Times New Roman" w:eastAsia="Times New Roman" w:hAnsi="Times New Roman" w:cs="Times New Roman"/>
                <w:b/>
                <w:bCs/>
                <w:kern w:val="0"/>
                <w14:ligatures w14:val="none"/>
              </w:rPr>
            </w:pPr>
            <w:r w:rsidRPr="00381CE2">
              <w:rPr>
                <w:rFonts w:ascii="Times New Roman" w:eastAsia="Times New Roman" w:hAnsi="Times New Roman" w:cs="Times New Roman"/>
                <w:b/>
                <w:bCs/>
                <w:kern w:val="0"/>
                <w14:ligatures w14:val="none"/>
              </w:rPr>
              <w:t>Summary of Relevance to Article 5</w:t>
            </w:r>
          </w:p>
        </w:tc>
      </w:tr>
      <w:tr w:rsidR="00381CE2" w:rsidRPr="00381CE2" w14:paraId="0C7135BA" w14:textId="77777777" w:rsidTr="00381CE2">
        <w:trPr>
          <w:tblCellSpacing w:w="15" w:type="dxa"/>
        </w:trPr>
        <w:tc>
          <w:tcPr>
            <w:tcW w:w="1305" w:type="dxa"/>
            <w:vAlign w:val="center"/>
            <w:hideMark/>
          </w:tcPr>
          <w:p w14:paraId="1FD93488"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Recital 26</w:t>
            </w:r>
          </w:p>
        </w:tc>
        <w:tc>
          <w:tcPr>
            <w:tcW w:w="7965" w:type="dxa"/>
            <w:vAlign w:val="center"/>
            <w:hideMark/>
          </w:tcPr>
          <w:p w14:paraId="6AC115E0"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Clarifies that the principles of data protection apply to any information concerning an identified or identifiable person, explaining the scope of “personal data”.</w:t>
            </w:r>
          </w:p>
        </w:tc>
      </w:tr>
      <w:tr w:rsidR="00381CE2" w:rsidRPr="00381CE2" w14:paraId="2E680115" w14:textId="77777777" w:rsidTr="00381CE2">
        <w:trPr>
          <w:tblCellSpacing w:w="15" w:type="dxa"/>
        </w:trPr>
        <w:tc>
          <w:tcPr>
            <w:tcW w:w="1305" w:type="dxa"/>
            <w:vAlign w:val="center"/>
            <w:hideMark/>
          </w:tcPr>
          <w:p w14:paraId="6E26E401"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Recital 30</w:t>
            </w:r>
          </w:p>
        </w:tc>
        <w:tc>
          <w:tcPr>
            <w:tcW w:w="7965" w:type="dxa"/>
            <w:vAlign w:val="center"/>
            <w:hideMark/>
          </w:tcPr>
          <w:p w14:paraId="6505E67C"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Mentions online identifiers and how they can make natural persons identifiable — relevant to understanding what “personal data” are.</w:t>
            </w:r>
          </w:p>
        </w:tc>
      </w:tr>
      <w:tr w:rsidR="00381CE2" w:rsidRPr="00381CE2" w14:paraId="47910F63" w14:textId="77777777" w:rsidTr="00381CE2">
        <w:trPr>
          <w:tblCellSpacing w:w="15" w:type="dxa"/>
        </w:trPr>
        <w:tc>
          <w:tcPr>
            <w:tcW w:w="1305" w:type="dxa"/>
            <w:vAlign w:val="center"/>
            <w:hideMark/>
          </w:tcPr>
          <w:p w14:paraId="66FE5AE4"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Recital 32</w:t>
            </w:r>
          </w:p>
        </w:tc>
        <w:tc>
          <w:tcPr>
            <w:tcW w:w="7965" w:type="dxa"/>
            <w:vAlign w:val="center"/>
            <w:hideMark/>
          </w:tcPr>
          <w:p w14:paraId="46F1DBFB"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Explains “consent”, relevant to lawful processing under Article 5(1)(a).</w:t>
            </w:r>
          </w:p>
        </w:tc>
      </w:tr>
      <w:tr w:rsidR="00381CE2" w:rsidRPr="00381CE2" w14:paraId="63EC3310" w14:textId="77777777" w:rsidTr="00381CE2">
        <w:trPr>
          <w:tblCellSpacing w:w="15" w:type="dxa"/>
        </w:trPr>
        <w:tc>
          <w:tcPr>
            <w:tcW w:w="1305" w:type="dxa"/>
            <w:vAlign w:val="center"/>
            <w:hideMark/>
          </w:tcPr>
          <w:p w14:paraId="230835B0"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Recital 39</w:t>
            </w:r>
          </w:p>
        </w:tc>
        <w:tc>
          <w:tcPr>
            <w:tcW w:w="7965" w:type="dxa"/>
            <w:vAlign w:val="center"/>
            <w:hideMark/>
          </w:tcPr>
          <w:p w14:paraId="0D0069EC"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Core recital interpreting principles of lawful, fair, and transparent processing; data minimisation, accuracy, storage limitation, integrity, and confidentiality.</w:t>
            </w:r>
          </w:p>
        </w:tc>
      </w:tr>
      <w:tr w:rsidR="00381CE2" w:rsidRPr="00381CE2" w14:paraId="00215238" w14:textId="77777777" w:rsidTr="00381CE2">
        <w:trPr>
          <w:tblCellSpacing w:w="15" w:type="dxa"/>
        </w:trPr>
        <w:tc>
          <w:tcPr>
            <w:tcW w:w="1305" w:type="dxa"/>
            <w:vAlign w:val="center"/>
            <w:hideMark/>
          </w:tcPr>
          <w:p w14:paraId="776FCCB8"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Recital 40</w:t>
            </w:r>
          </w:p>
        </w:tc>
        <w:tc>
          <w:tcPr>
            <w:tcW w:w="7965" w:type="dxa"/>
            <w:vAlign w:val="center"/>
            <w:hideMark/>
          </w:tcPr>
          <w:p w14:paraId="170D9BDE"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Clarifies the need for a legal basis (Article 6) for processing and relationship to fairness/lawfulness.</w:t>
            </w:r>
          </w:p>
        </w:tc>
      </w:tr>
      <w:tr w:rsidR="00381CE2" w:rsidRPr="00381CE2" w14:paraId="5DE30B9A" w14:textId="77777777" w:rsidTr="00381CE2">
        <w:trPr>
          <w:tblCellSpacing w:w="15" w:type="dxa"/>
        </w:trPr>
        <w:tc>
          <w:tcPr>
            <w:tcW w:w="1305" w:type="dxa"/>
            <w:vAlign w:val="center"/>
            <w:hideMark/>
          </w:tcPr>
          <w:p w14:paraId="195BD529"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Recital 41</w:t>
            </w:r>
          </w:p>
        </w:tc>
        <w:tc>
          <w:tcPr>
            <w:tcW w:w="7965" w:type="dxa"/>
            <w:vAlign w:val="center"/>
            <w:hideMark/>
          </w:tcPr>
          <w:p w14:paraId="730D3CD1"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Defines what constitutes a legal obligation (Article 5(1)(a) link).</w:t>
            </w:r>
          </w:p>
        </w:tc>
      </w:tr>
      <w:tr w:rsidR="00381CE2" w:rsidRPr="00381CE2" w14:paraId="5A3054B1" w14:textId="77777777" w:rsidTr="00381CE2">
        <w:trPr>
          <w:tblCellSpacing w:w="15" w:type="dxa"/>
        </w:trPr>
        <w:tc>
          <w:tcPr>
            <w:tcW w:w="1305" w:type="dxa"/>
            <w:vAlign w:val="center"/>
            <w:hideMark/>
          </w:tcPr>
          <w:p w14:paraId="6A40F194"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Recital 50</w:t>
            </w:r>
          </w:p>
        </w:tc>
        <w:tc>
          <w:tcPr>
            <w:tcW w:w="7965" w:type="dxa"/>
            <w:vAlign w:val="center"/>
            <w:hideMark/>
          </w:tcPr>
          <w:p w14:paraId="5880A46A"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Interprets “purpose limitation” and compatibility of further processing with the original purpose, especially scientific, research, or statistical uses under Article 89(1).</w:t>
            </w:r>
          </w:p>
        </w:tc>
      </w:tr>
      <w:tr w:rsidR="00381CE2" w:rsidRPr="00381CE2" w14:paraId="7C898118" w14:textId="77777777" w:rsidTr="00381CE2">
        <w:trPr>
          <w:tblCellSpacing w:w="15" w:type="dxa"/>
        </w:trPr>
        <w:tc>
          <w:tcPr>
            <w:tcW w:w="1305" w:type="dxa"/>
            <w:vAlign w:val="center"/>
            <w:hideMark/>
          </w:tcPr>
          <w:p w14:paraId="0B2DF082"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Recital 65</w:t>
            </w:r>
          </w:p>
        </w:tc>
        <w:tc>
          <w:tcPr>
            <w:tcW w:w="7965" w:type="dxa"/>
            <w:vAlign w:val="center"/>
            <w:hideMark/>
          </w:tcPr>
          <w:p w14:paraId="7C705568"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Explains data subject’s right to rectification and erasure in the context of the “accuracy” and “storage limitation” principles.</w:t>
            </w:r>
          </w:p>
        </w:tc>
      </w:tr>
      <w:tr w:rsidR="00381CE2" w:rsidRPr="00381CE2" w14:paraId="48C699C4" w14:textId="77777777" w:rsidTr="00381CE2">
        <w:trPr>
          <w:tblCellSpacing w:w="15" w:type="dxa"/>
        </w:trPr>
        <w:tc>
          <w:tcPr>
            <w:tcW w:w="1305" w:type="dxa"/>
            <w:vAlign w:val="center"/>
            <w:hideMark/>
          </w:tcPr>
          <w:p w14:paraId="422A81C3"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Recital 71</w:t>
            </w:r>
          </w:p>
        </w:tc>
        <w:tc>
          <w:tcPr>
            <w:tcW w:w="7965" w:type="dxa"/>
            <w:vAlign w:val="center"/>
            <w:hideMark/>
          </w:tcPr>
          <w:p w14:paraId="73C0DC0B"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Explains fair and transparent processing in context of profiling.</w:t>
            </w:r>
          </w:p>
        </w:tc>
      </w:tr>
      <w:tr w:rsidR="00381CE2" w:rsidRPr="00381CE2" w14:paraId="156A9314" w14:textId="77777777" w:rsidTr="00381CE2">
        <w:trPr>
          <w:tblCellSpacing w:w="15" w:type="dxa"/>
        </w:trPr>
        <w:tc>
          <w:tcPr>
            <w:tcW w:w="1305" w:type="dxa"/>
            <w:vAlign w:val="center"/>
            <w:hideMark/>
          </w:tcPr>
          <w:p w14:paraId="0605D324"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Recital 156</w:t>
            </w:r>
          </w:p>
        </w:tc>
        <w:tc>
          <w:tcPr>
            <w:tcW w:w="7965" w:type="dxa"/>
            <w:vAlign w:val="center"/>
            <w:hideMark/>
          </w:tcPr>
          <w:p w14:paraId="2881C4E0"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Expands on Article 89(1), describing safeguards for archiving and research.</w:t>
            </w:r>
          </w:p>
        </w:tc>
      </w:tr>
    </w:tbl>
    <w:p w14:paraId="3499279B" w14:textId="77777777" w:rsidR="00381CE2" w:rsidRPr="00381CE2" w:rsidRDefault="008B1357" w:rsidP="00381CE2">
      <w:pPr>
        <w:spacing w:after="0" w:line="240" w:lineRule="auto"/>
        <w:rPr>
          <w:rFonts w:ascii="Times New Roman" w:eastAsia="Times New Roman" w:hAnsi="Times New Roman" w:cs="Times New Roman"/>
          <w:kern w:val="0"/>
          <w14:ligatures w14:val="none"/>
        </w:rPr>
      </w:pPr>
      <w:r w:rsidRPr="008B1357">
        <w:rPr>
          <w:rFonts w:ascii="Times New Roman" w:eastAsia="Times New Roman" w:hAnsi="Times New Roman" w:cs="Times New Roman"/>
          <w:noProof/>
          <w:kern w:val="0"/>
        </w:rPr>
        <w:pict w14:anchorId="771FB7A3">
          <v:rect id="_x0000_i1027" alt="" style="width:468pt;height:.05pt;mso-width-percent:0;mso-height-percent:0;mso-width-percent:0;mso-height-percent:0" o:hralign="center" o:hrstd="t" o:hr="t" fillcolor="#a0a0a0" stroked="f"/>
        </w:pict>
      </w:r>
    </w:p>
    <w:p w14:paraId="729127C4" w14:textId="77777777" w:rsidR="00381CE2" w:rsidRPr="00381CE2" w:rsidRDefault="00381CE2" w:rsidP="00381C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1CE2">
        <w:rPr>
          <w:rFonts w:ascii="Times New Roman" w:eastAsia="Times New Roman" w:hAnsi="Times New Roman" w:cs="Times New Roman"/>
          <w:b/>
          <w:bCs/>
          <w:kern w:val="0"/>
          <w:sz w:val="36"/>
          <w:szCs w:val="36"/>
          <w14:ligatures w14:val="none"/>
        </w:rPr>
        <w:t>STEP 2 – Identify Related Articles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7560"/>
      </w:tblGrid>
      <w:tr w:rsidR="00381CE2" w:rsidRPr="00381CE2" w14:paraId="5BA96814" w14:textId="77777777" w:rsidTr="00381CE2">
        <w:trPr>
          <w:tblHeader/>
          <w:tblCellSpacing w:w="15" w:type="dxa"/>
        </w:trPr>
        <w:tc>
          <w:tcPr>
            <w:tcW w:w="1755" w:type="dxa"/>
            <w:vAlign w:val="center"/>
            <w:hideMark/>
          </w:tcPr>
          <w:p w14:paraId="45AF8ED4" w14:textId="77777777" w:rsidR="00381CE2" w:rsidRPr="00381CE2" w:rsidRDefault="00381CE2" w:rsidP="00381CE2">
            <w:pPr>
              <w:spacing w:after="0" w:line="240" w:lineRule="auto"/>
              <w:jc w:val="center"/>
              <w:rPr>
                <w:rFonts w:ascii="Times New Roman" w:eastAsia="Times New Roman" w:hAnsi="Times New Roman" w:cs="Times New Roman"/>
                <w:b/>
                <w:bCs/>
                <w:kern w:val="0"/>
                <w14:ligatures w14:val="none"/>
              </w:rPr>
            </w:pPr>
            <w:r w:rsidRPr="00381CE2">
              <w:rPr>
                <w:rFonts w:ascii="Times New Roman" w:eastAsia="Times New Roman" w:hAnsi="Times New Roman" w:cs="Times New Roman"/>
                <w:b/>
                <w:bCs/>
                <w:kern w:val="0"/>
                <w14:ligatures w14:val="none"/>
              </w:rPr>
              <w:t>Related Article</w:t>
            </w:r>
          </w:p>
        </w:tc>
        <w:tc>
          <w:tcPr>
            <w:tcW w:w="7515" w:type="dxa"/>
            <w:vAlign w:val="center"/>
            <w:hideMark/>
          </w:tcPr>
          <w:p w14:paraId="7B0721D2" w14:textId="77777777" w:rsidR="00381CE2" w:rsidRPr="00381CE2" w:rsidRDefault="00381CE2" w:rsidP="00381CE2">
            <w:pPr>
              <w:spacing w:after="0" w:line="240" w:lineRule="auto"/>
              <w:jc w:val="center"/>
              <w:rPr>
                <w:rFonts w:ascii="Times New Roman" w:eastAsia="Times New Roman" w:hAnsi="Times New Roman" w:cs="Times New Roman"/>
                <w:b/>
                <w:bCs/>
                <w:kern w:val="0"/>
                <w14:ligatures w14:val="none"/>
              </w:rPr>
            </w:pPr>
            <w:r w:rsidRPr="00381CE2">
              <w:rPr>
                <w:rFonts w:ascii="Times New Roman" w:eastAsia="Times New Roman" w:hAnsi="Times New Roman" w:cs="Times New Roman"/>
                <w:b/>
                <w:bCs/>
                <w:kern w:val="0"/>
                <w14:ligatures w14:val="none"/>
              </w:rPr>
              <w:t>Connection</w:t>
            </w:r>
          </w:p>
        </w:tc>
      </w:tr>
      <w:tr w:rsidR="00381CE2" w:rsidRPr="00381CE2" w14:paraId="74C4E2C3" w14:textId="77777777" w:rsidTr="00381CE2">
        <w:trPr>
          <w:tblCellSpacing w:w="15" w:type="dxa"/>
        </w:trPr>
        <w:tc>
          <w:tcPr>
            <w:tcW w:w="1755" w:type="dxa"/>
            <w:vAlign w:val="center"/>
            <w:hideMark/>
          </w:tcPr>
          <w:p w14:paraId="0D0AAB99"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Article 6</w:t>
            </w:r>
          </w:p>
        </w:tc>
        <w:tc>
          <w:tcPr>
            <w:tcW w:w="7515" w:type="dxa"/>
            <w:vAlign w:val="center"/>
            <w:hideMark/>
          </w:tcPr>
          <w:p w14:paraId="6D65C85F"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 xml:space="preserve">Defines </w:t>
            </w:r>
            <w:r w:rsidRPr="00381CE2">
              <w:rPr>
                <w:rFonts w:ascii="Times New Roman" w:eastAsia="Times New Roman" w:hAnsi="Times New Roman" w:cs="Times New Roman"/>
                <w:i/>
                <w:iCs/>
                <w:kern w:val="0"/>
                <w14:ligatures w14:val="none"/>
              </w:rPr>
              <w:t>lawfulness</w:t>
            </w:r>
            <w:r w:rsidRPr="00381CE2">
              <w:rPr>
                <w:rFonts w:ascii="Times New Roman" w:eastAsia="Times New Roman" w:hAnsi="Times New Roman" w:cs="Times New Roman"/>
                <w:kern w:val="0"/>
                <w14:ligatures w14:val="none"/>
              </w:rPr>
              <w:t xml:space="preserve"> bases (consent, contract, legal obligation, vital interest, public interest, legitimate interests).</w:t>
            </w:r>
          </w:p>
        </w:tc>
      </w:tr>
      <w:tr w:rsidR="00381CE2" w:rsidRPr="00381CE2" w14:paraId="2012CFAB" w14:textId="77777777" w:rsidTr="00381CE2">
        <w:trPr>
          <w:tblCellSpacing w:w="15" w:type="dxa"/>
        </w:trPr>
        <w:tc>
          <w:tcPr>
            <w:tcW w:w="1755" w:type="dxa"/>
            <w:vAlign w:val="center"/>
            <w:hideMark/>
          </w:tcPr>
          <w:p w14:paraId="403C5597"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Article 7</w:t>
            </w:r>
          </w:p>
        </w:tc>
        <w:tc>
          <w:tcPr>
            <w:tcW w:w="7515" w:type="dxa"/>
            <w:vAlign w:val="center"/>
            <w:hideMark/>
          </w:tcPr>
          <w:p w14:paraId="65AC5A58"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Specifies conditions for valid consent, connected to lawful processing.</w:t>
            </w:r>
          </w:p>
        </w:tc>
      </w:tr>
      <w:tr w:rsidR="00381CE2" w:rsidRPr="00381CE2" w14:paraId="02E0A461" w14:textId="77777777" w:rsidTr="00381CE2">
        <w:trPr>
          <w:tblCellSpacing w:w="15" w:type="dxa"/>
        </w:trPr>
        <w:tc>
          <w:tcPr>
            <w:tcW w:w="1755" w:type="dxa"/>
            <w:vAlign w:val="center"/>
            <w:hideMark/>
          </w:tcPr>
          <w:p w14:paraId="0CB5839A"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Article 9</w:t>
            </w:r>
          </w:p>
        </w:tc>
        <w:tc>
          <w:tcPr>
            <w:tcW w:w="7515" w:type="dxa"/>
            <w:vAlign w:val="center"/>
            <w:hideMark/>
          </w:tcPr>
          <w:p w14:paraId="2A86726E"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Special categories of data — expands on fairness and lawfulness.</w:t>
            </w:r>
          </w:p>
        </w:tc>
      </w:tr>
      <w:tr w:rsidR="00381CE2" w:rsidRPr="00381CE2" w14:paraId="75458F64" w14:textId="77777777" w:rsidTr="00381CE2">
        <w:trPr>
          <w:tblCellSpacing w:w="15" w:type="dxa"/>
        </w:trPr>
        <w:tc>
          <w:tcPr>
            <w:tcW w:w="1755" w:type="dxa"/>
            <w:vAlign w:val="center"/>
            <w:hideMark/>
          </w:tcPr>
          <w:p w14:paraId="7F0EDC79"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Article 12–15</w:t>
            </w:r>
          </w:p>
        </w:tc>
        <w:tc>
          <w:tcPr>
            <w:tcW w:w="7515" w:type="dxa"/>
            <w:vAlign w:val="center"/>
            <w:hideMark/>
          </w:tcPr>
          <w:p w14:paraId="782D19D9"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Transparency obligations (right to information, access, etc.).</w:t>
            </w:r>
          </w:p>
        </w:tc>
      </w:tr>
      <w:tr w:rsidR="00381CE2" w:rsidRPr="00381CE2" w14:paraId="7C4012BE" w14:textId="77777777" w:rsidTr="00381CE2">
        <w:trPr>
          <w:tblCellSpacing w:w="15" w:type="dxa"/>
        </w:trPr>
        <w:tc>
          <w:tcPr>
            <w:tcW w:w="1755" w:type="dxa"/>
            <w:vAlign w:val="center"/>
            <w:hideMark/>
          </w:tcPr>
          <w:p w14:paraId="089AEF62"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Article 16 &amp; 17</w:t>
            </w:r>
          </w:p>
        </w:tc>
        <w:tc>
          <w:tcPr>
            <w:tcW w:w="7515" w:type="dxa"/>
            <w:vAlign w:val="center"/>
            <w:hideMark/>
          </w:tcPr>
          <w:p w14:paraId="3ADE466A"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Rectification and erasure (connected to “accuracy” and “storage limitation”).</w:t>
            </w:r>
          </w:p>
        </w:tc>
      </w:tr>
      <w:tr w:rsidR="00381CE2" w:rsidRPr="00381CE2" w14:paraId="68FAC756" w14:textId="77777777" w:rsidTr="00381CE2">
        <w:trPr>
          <w:tblCellSpacing w:w="15" w:type="dxa"/>
        </w:trPr>
        <w:tc>
          <w:tcPr>
            <w:tcW w:w="1755" w:type="dxa"/>
            <w:vAlign w:val="center"/>
            <w:hideMark/>
          </w:tcPr>
          <w:p w14:paraId="411BF2BE"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Article 24</w:t>
            </w:r>
          </w:p>
        </w:tc>
        <w:tc>
          <w:tcPr>
            <w:tcW w:w="7515" w:type="dxa"/>
            <w:vAlign w:val="center"/>
            <w:hideMark/>
          </w:tcPr>
          <w:p w14:paraId="683C3644"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Controller’s responsibility and “accountability” principle.</w:t>
            </w:r>
          </w:p>
        </w:tc>
      </w:tr>
      <w:tr w:rsidR="00381CE2" w:rsidRPr="00381CE2" w14:paraId="70D4E1A6" w14:textId="77777777" w:rsidTr="00381CE2">
        <w:trPr>
          <w:tblCellSpacing w:w="15" w:type="dxa"/>
        </w:trPr>
        <w:tc>
          <w:tcPr>
            <w:tcW w:w="1755" w:type="dxa"/>
            <w:vAlign w:val="center"/>
            <w:hideMark/>
          </w:tcPr>
          <w:p w14:paraId="77BE1903"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Article 25</w:t>
            </w:r>
          </w:p>
        </w:tc>
        <w:tc>
          <w:tcPr>
            <w:tcW w:w="7515" w:type="dxa"/>
            <w:vAlign w:val="center"/>
            <w:hideMark/>
          </w:tcPr>
          <w:p w14:paraId="52D28213"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Data protection by design and by default (linked to integrity, minimisation, security).</w:t>
            </w:r>
          </w:p>
        </w:tc>
      </w:tr>
      <w:tr w:rsidR="00381CE2" w:rsidRPr="00381CE2" w14:paraId="03C5ED4E" w14:textId="77777777" w:rsidTr="00381CE2">
        <w:trPr>
          <w:tblCellSpacing w:w="15" w:type="dxa"/>
        </w:trPr>
        <w:tc>
          <w:tcPr>
            <w:tcW w:w="1755" w:type="dxa"/>
            <w:vAlign w:val="center"/>
            <w:hideMark/>
          </w:tcPr>
          <w:p w14:paraId="31E199D6"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Article 32</w:t>
            </w:r>
          </w:p>
        </w:tc>
        <w:tc>
          <w:tcPr>
            <w:tcW w:w="7515" w:type="dxa"/>
            <w:vAlign w:val="center"/>
            <w:hideMark/>
          </w:tcPr>
          <w:p w14:paraId="36D77C3C"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Security of processing (integrity and confidentiality).</w:t>
            </w:r>
          </w:p>
        </w:tc>
      </w:tr>
      <w:tr w:rsidR="00381CE2" w:rsidRPr="00381CE2" w14:paraId="6FAF6FF0" w14:textId="77777777" w:rsidTr="00381CE2">
        <w:trPr>
          <w:tblCellSpacing w:w="15" w:type="dxa"/>
        </w:trPr>
        <w:tc>
          <w:tcPr>
            <w:tcW w:w="1755" w:type="dxa"/>
            <w:vAlign w:val="center"/>
            <w:hideMark/>
          </w:tcPr>
          <w:p w14:paraId="5B2D8534"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Article 89(1)</w:t>
            </w:r>
          </w:p>
        </w:tc>
        <w:tc>
          <w:tcPr>
            <w:tcW w:w="7515" w:type="dxa"/>
            <w:vAlign w:val="center"/>
            <w:hideMark/>
          </w:tcPr>
          <w:p w14:paraId="7C5BFABF" w14:textId="77777777" w:rsidR="00381CE2" w:rsidRPr="00381CE2" w:rsidRDefault="00381CE2" w:rsidP="00381CE2">
            <w:pPr>
              <w:spacing w:after="0"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Clarifies exceptions for archiving, research, or statistical purposes — explicit cross-reference in Article 5(1)(b) and (e).</w:t>
            </w:r>
          </w:p>
        </w:tc>
      </w:tr>
    </w:tbl>
    <w:p w14:paraId="38664273" w14:textId="77777777" w:rsidR="00381CE2" w:rsidRPr="00381CE2" w:rsidRDefault="008B1357" w:rsidP="00381CE2">
      <w:pPr>
        <w:spacing w:after="0" w:line="240" w:lineRule="auto"/>
        <w:rPr>
          <w:rFonts w:ascii="Times New Roman" w:eastAsia="Times New Roman" w:hAnsi="Times New Roman" w:cs="Times New Roman"/>
          <w:kern w:val="0"/>
          <w14:ligatures w14:val="none"/>
        </w:rPr>
      </w:pPr>
      <w:r w:rsidRPr="008B1357">
        <w:rPr>
          <w:rFonts w:ascii="Times New Roman" w:eastAsia="Times New Roman" w:hAnsi="Times New Roman" w:cs="Times New Roman"/>
          <w:noProof/>
          <w:kern w:val="0"/>
        </w:rPr>
        <w:pict w14:anchorId="79151DF5">
          <v:rect id="_x0000_i1026" alt="" style="width:468pt;height:.05pt;mso-width-percent:0;mso-height-percent:0;mso-width-percent:0;mso-height-percent:0" o:hralign="center" o:hrstd="t" o:hr="t" fillcolor="#a0a0a0" stroked="f"/>
        </w:pict>
      </w:r>
    </w:p>
    <w:p w14:paraId="6107ED07" w14:textId="77777777" w:rsidR="00656B44" w:rsidRDefault="00656B44" w:rsidP="00381C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D0AD26D" w14:textId="77777777" w:rsidR="00656B44" w:rsidRDefault="00656B44" w:rsidP="00381C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60FFDC9" w14:textId="081D09BA" w:rsidR="00381CE2" w:rsidRPr="00381CE2" w:rsidRDefault="00381CE2" w:rsidP="00381C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1CE2">
        <w:rPr>
          <w:rFonts w:ascii="Times New Roman" w:eastAsia="Times New Roman" w:hAnsi="Times New Roman" w:cs="Times New Roman"/>
          <w:b/>
          <w:bCs/>
          <w:kern w:val="0"/>
          <w:sz w:val="36"/>
          <w:szCs w:val="36"/>
          <w14:ligatures w14:val="none"/>
        </w:rPr>
        <w:lastRenderedPageBreak/>
        <w:t>STEP 3 – Construct the Detailed Legal Rule</w:t>
      </w:r>
    </w:p>
    <w:p w14:paraId="6E87D0D9" w14:textId="77777777" w:rsidR="00381CE2" w:rsidRPr="00381CE2" w:rsidRDefault="00381CE2" w:rsidP="00381C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1CE2">
        <w:rPr>
          <w:rFonts w:ascii="Times New Roman" w:eastAsia="Times New Roman" w:hAnsi="Times New Roman" w:cs="Times New Roman"/>
          <w:b/>
          <w:bCs/>
          <w:kern w:val="0"/>
          <w:sz w:val="27"/>
          <w:szCs w:val="27"/>
          <w14:ligatures w14:val="none"/>
        </w:rPr>
        <w:t>Integrated Legal Rule: Article 5 with All Related Provisions and Recitals</w:t>
      </w:r>
    </w:p>
    <w:p w14:paraId="6B6403F3" w14:textId="77777777" w:rsidR="00381CE2" w:rsidRPr="00381CE2" w:rsidRDefault="00381CE2" w:rsidP="00381CE2">
      <w:pPr>
        <w:spacing w:before="100" w:beforeAutospacing="1" w:after="100" w:afterAutospacing="1"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 xml:space="preserve">Personal data processing must comply with the following </w:t>
      </w:r>
      <w:r w:rsidRPr="00381CE2">
        <w:rPr>
          <w:rFonts w:ascii="Times New Roman" w:eastAsia="Times New Roman" w:hAnsi="Times New Roman" w:cs="Times New Roman"/>
          <w:i/>
          <w:iCs/>
          <w:kern w:val="0"/>
          <w14:ligatures w14:val="none"/>
        </w:rPr>
        <w:t>fundamental principles</w:t>
      </w:r>
      <w:r w:rsidRPr="00381CE2">
        <w:rPr>
          <w:rFonts w:ascii="Times New Roman" w:eastAsia="Times New Roman" w:hAnsi="Times New Roman" w:cs="Times New Roman"/>
          <w:kern w:val="0"/>
          <w14:ligatures w14:val="none"/>
        </w:rPr>
        <w:t>:</w:t>
      </w:r>
    </w:p>
    <w:p w14:paraId="76F86980" w14:textId="77777777" w:rsidR="00381CE2" w:rsidRPr="00381CE2" w:rsidRDefault="00381CE2" w:rsidP="00381C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Lawfulness, Fairness, and Transparency (Art. 5(1)(a)):</w:t>
      </w:r>
      <w:r w:rsidRPr="00381CE2">
        <w:rPr>
          <w:rFonts w:ascii="Times New Roman" w:eastAsia="Times New Roman" w:hAnsi="Times New Roman" w:cs="Times New Roman"/>
          <w:kern w:val="0"/>
          <w14:ligatures w14:val="none"/>
        </w:rPr>
        <w:br/>
        <w:t>Processing must have a lawful basis under Article 6, be fair to the data subject, and transparent, meaning the data subject must be informed of how, why, and by whom their data are processed (Recitals 39, 40, 41, 60–62).</w:t>
      </w:r>
    </w:p>
    <w:p w14:paraId="32F446D1" w14:textId="77777777" w:rsidR="00381CE2" w:rsidRPr="00381CE2" w:rsidRDefault="00381CE2" w:rsidP="00381C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Purpose Limitation (Art. 5(1)(b)):</w:t>
      </w:r>
      <w:r w:rsidRPr="00381CE2">
        <w:rPr>
          <w:rFonts w:ascii="Times New Roman" w:eastAsia="Times New Roman" w:hAnsi="Times New Roman" w:cs="Times New Roman"/>
          <w:kern w:val="0"/>
          <w14:ligatures w14:val="none"/>
        </w:rPr>
        <w:br/>
        <w:t>Data must be collected for specified, explicit, and legitimate purposes, and not further processed incompatibly with those purposes.</w:t>
      </w:r>
      <w:r w:rsidRPr="00381CE2">
        <w:rPr>
          <w:rFonts w:ascii="Times New Roman" w:eastAsia="Times New Roman" w:hAnsi="Times New Roman" w:cs="Times New Roman"/>
          <w:kern w:val="0"/>
          <w14:ligatures w14:val="none"/>
        </w:rPr>
        <w:br/>
        <w:t xml:space="preserve">However, further processing for </w:t>
      </w:r>
      <w:r w:rsidRPr="00381CE2">
        <w:rPr>
          <w:rFonts w:ascii="Times New Roman" w:eastAsia="Times New Roman" w:hAnsi="Times New Roman" w:cs="Times New Roman"/>
          <w:i/>
          <w:iCs/>
          <w:kern w:val="0"/>
          <w14:ligatures w14:val="none"/>
        </w:rPr>
        <w:t>archiving in the public interest, scientific or historical research, or statistical purposes</w:t>
      </w:r>
      <w:r w:rsidRPr="00381CE2">
        <w:rPr>
          <w:rFonts w:ascii="Times New Roman" w:eastAsia="Times New Roman" w:hAnsi="Times New Roman" w:cs="Times New Roman"/>
          <w:kern w:val="0"/>
          <w14:ligatures w14:val="none"/>
        </w:rPr>
        <w:t xml:space="preserve"> (Article 89(1)) shall not be deemed incompatible if appropriate safeguards (e.g., pseudonymisation, data minimisation) are implemented (Recital 50, 156).</w:t>
      </w:r>
    </w:p>
    <w:p w14:paraId="604D8861" w14:textId="77777777" w:rsidR="00381CE2" w:rsidRPr="00381CE2" w:rsidRDefault="00381CE2" w:rsidP="00381C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Data Minimisation (Art. 5(1)(c)):</w:t>
      </w:r>
      <w:r w:rsidRPr="00381CE2">
        <w:rPr>
          <w:rFonts w:ascii="Times New Roman" w:eastAsia="Times New Roman" w:hAnsi="Times New Roman" w:cs="Times New Roman"/>
          <w:kern w:val="0"/>
          <w14:ligatures w14:val="none"/>
        </w:rPr>
        <w:br/>
        <w:t>Data must be adequate, relevant, and limited to what is necessary for the intended purpose (Recital 39).</w:t>
      </w:r>
    </w:p>
    <w:p w14:paraId="1975E3E2" w14:textId="77777777" w:rsidR="00381CE2" w:rsidRPr="00381CE2" w:rsidRDefault="00381CE2" w:rsidP="00381C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Accuracy (Art. 5(1)(d)):</w:t>
      </w:r>
      <w:r w:rsidRPr="00381CE2">
        <w:rPr>
          <w:rFonts w:ascii="Times New Roman" w:eastAsia="Times New Roman" w:hAnsi="Times New Roman" w:cs="Times New Roman"/>
          <w:kern w:val="0"/>
          <w14:ligatures w14:val="none"/>
        </w:rPr>
        <w:br/>
        <w:t>Data must be accurate and kept up to date. Inaccurate data must be rectified or erased without delay (Articles 16 and 17; Recital 65).</w:t>
      </w:r>
    </w:p>
    <w:p w14:paraId="5AB40521" w14:textId="77777777" w:rsidR="00381CE2" w:rsidRPr="00381CE2" w:rsidRDefault="00381CE2" w:rsidP="00381C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Storage Limitation (Art. 5(1)(e)):</w:t>
      </w:r>
      <w:r w:rsidRPr="00381CE2">
        <w:rPr>
          <w:rFonts w:ascii="Times New Roman" w:eastAsia="Times New Roman" w:hAnsi="Times New Roman" w:cs="Times New Roman"/>
          <w:kern w:val="0"/>
          <w14:ligatures w14:val="none"/>
        </w:rPr>
        <w:br/>
        <w:t>Data identifying data subjects shall not be kept longer than necessary. Longer storage is permitted if solely for archiving, research, or statistical purposes under Article 89(1), with safeguards in place (Recitals 50, 156).</w:t>
      </w:r>
    </w:p>
    <w:p w14:paraId="4735AD63" w14:textId="77777777" w:rsidR="00381CE2" w:rsidRPr="00381CE2" w:rsidRDefault="00381CE2" w:rsidP="00381C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Integrity and Confidentiality (Art. 5(1)(f)):</w:t>
      </w:r>
      <w:r w:rsidRPr="00381CE2">
        <w:rPr>
          <w:rFonts w:ascii="Times New Roman" w:eastAsia="Times New Roman" w:hAnsi="Times New Roman" w:cs="Times New Roman"/>
          <w:kern w:val="0"/>
          <w14:ligatures w14:val="none"/>
        </w:rPr>
        <w:br/>
        <w:t>Processing must ensure appropriate security, including protection against unauthorised or unlawful processing, accidental loss, destruction, or damage, using suitable technical or organisational measures (Article 32; Recital 39).</w:t>
      </w:r>
    </w:p>
    <w:p w14:paraId="7149861B" w14:textId="77777777" w:rsidR="00381CE2" w:rsidRPr="00381CE2" w:rsidRDefault="00381CE2" w:rsidP="00381C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Accountability (Art. 5(2)):</w:t>
      </w:r>
      <w:r w:rsidRPr="00381CE2">
        <w:rPr>
          <w:rFonts w:ascii="Times New Roman" w:eastAsia="Times New Roman" w:hAnsi="Times New Roman" w:cs="Times New Roman"/>
          <w:kern w:val="0"/>
          <w14:ligatures w14:val="none"/>
        </w:rPr>
        <w:br/>
        <w:t>The controller is responsible for compliance with these principles and must be able to demonstrate such compliance (Article 24; Recital 74).</w:t>
      </w:r>
    </w:p>
    <w:p w14:paraId="2CAA9D2A" w14:textId="77777777" w:rsidR="00381CE2" w:rsidRPr="00381CE2" w:rsidRDefault="008B1357" w:rsidP="00381CE2">
      <w:pPr>
        <w:spacing w:after="0" w:line="240" w:lineRule="auto"/>
        <w:rPr>
          <w:rFonts w:ascii="Times New Roman" w:eastAsia="Times New Roman" w:hAnsi="Times New Roman" w:cs="Times New Roman"/>
          <w:kern w:val="0"/>
          <w14:ligatures w14:val="none"/>
        </w:rPr>
      </w:pPr>
      <w:r w:rsidRPr="008B1357">
        <w:rPr>
          <w:rFonts w:ascii="Times New Roman" w:eastAsia="Times New Roman" w:hAnsi="Times New Roman" w:cs="Times New Roman"/>
          <w:noProof/>
          <w:kern w:val="0"/>
        </w:rPr>
        <w:pict w14:anchorId="29529E9A">
          <v:rect id="_x0000_i1025" alt="" style="width:468pt;height:.05pt;mso-width-percent:0;mso-height-percent:0;mso-width-percent:0;mso-height-percent:0" o:hralign="center" o:hrstd="t" o:hr="t" fillcolor="#a0a0a0" stroked="f"/>
        </w:pict>
      </w:r>
    </w:p>
    <w:p w14:paraId="032C0480" w14:textId="77777777" w:rsidR="00656B44" w:rsidRDefault="00656B44" w:rsidP="00381C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97C82D2" w14:textId="77777777" w:rsidR="00656B44" w:rsidRDefault="00656B44" w:rsidP="00381C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81FA1AD" w14:textId="77777777" w:rsidR="00656B44" w:rsidRDefault="00656B44" w:rsidP="00381C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EF55AEC" w14:textId="77777777" w:rsidR="00656B44" w:rsidRDefault="00656B44" w:rsidP="00381C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4DC2F2A" w14:textId="77777777" w:rsidR="00656B44" w:rsidRDefault="00656B44" w:rsidP="00381C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5511435" w14:textId="77777777" w:rsidR="00656B44" w:rsidRDefault="00656B44" w:rsidP="00381C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CA597F5" w14:textId="77777777" w:rsidR="00656B44" w:rsidRDefault="00656B44" w:rsidP="00381C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85C288E" w14:textId="2281123E" w:rsidR="00381CE2" w:rsidRPr="00381CE2" w:rsidRDefault="00381CE2" w:rsidP="00381C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1CE2">
        <w:rPr>
          <w:rFonts w:ascii="Times New Roman" w:eastAsia="Times New Roman" w:hAnsi="Times New Roman" w:cs="Times New Roman"/>
          <w:b/>
          <w:bCs/>
          <w:kern w:val="0"/>
          <w:sz w:val="36"/>
          <w:szCs w:val="36"/>
          <w14:ligatures w14:val="none"/>
        </w:rPr>
        <w:lastRenderedPageBreak/>
        <w:t>STEP 4 – Rewrite the Legal Rule in Conditional Logic Format</w:t>
      </w:r>
    </w:p>
    <w:p w14:paraId="728C9052" w14:textId="77777777" w:rsidR="00381CE2" w:rsidRPr="00381CE2" w:rsidRDefault="00381CE2" w:rsidP="00381CE2">
      <w:pPr>
        <w:spacing w:before="100" w:beforeAutospacing="1" w:after="100" w:afterAutospacing="1"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Conclusion:</w:t>
      </w:r>
      <w:r w:rsidRPr="00381CE2">
        <w:rPr>
          <w:rFonts w:ascii="Times New Roman" w:eastAsia="Times New Roman" w:hAnsi="Times New Roman" w:cs="Times New Roman"/>
          <w:kern w:val="0"/>
          <w14:ligatures w14:val="none"/>
        </w:rPr>
        <w:br/>
        <w:t>Personal data processing is lawful and compliant with the GDPR.</w:t>
      </w:r>
    </w:p>
    <w:p w14:paraId="15899799" w14:textId="77777777" w:rsidR="00381CE2" w:rsidRPr="00381CE2" w:rsidRDefault="00381CE2" w:rsidP="00381CE2">
      <w:pPr>
        <w:spacing w:before="100" w:beforeAutospacing="1" w:after="100" w:afterAutospacing="1"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IF</w:t>
      </w:r>
    </w:p>
    <w:p w14:paraId="5A897B28" w14:textId="77777777" w:rsidR="00381CE2" w:rsidRPr="00381CE2" w:rsidRDefault="00381CE2" w:rsidP="00381CE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processing is based on a lawful ground (Article 6)</w:t>
      </w:r>
      <w:r w:rsidRPr="00381CE2">
        <w:rPr>
          <w:rFonts w:ascii="Times New Roman" w:eastAsia="Times New Roman" w:hAnsi="Times New Roman" w:cs="Times New Roman"/>
          <w:kern w:val="0"/>
          <w14:ligatures w14:val="none"/>
        </w:rPr>
        <w:br/>
        <w:t>AND</w:t>
      </w:r>
    </w:p>
    <w:p w14:paraId="67469EAC" w14:textId="77777777" w:rsidR="00381CE2" w:rsidRPr="00381CE2" w:rsidRDefault="00381CE2" w:rsidP="00381CE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processing is fair and transparent to the data subject</w:t>
      </w:r>
      <w:r w:rsidRPr="00381CE2">
        <w:rPr>
          <w:rFonts w:ascii="Times New Roman" w:eastAsia="Times New Roman" w:hAnsi="Times New Roman" w:cs="Times New Roman"/>
          <w:kern w:val="0"/>
          <w14:ligatures w14:val="none"/>
        </w:rPr>
        <w:br/>
        <w:t>AND</w:t>
      </w:r>
    </w:p>
    <w:p w14:paraId="1B4210F7" w14:textId="77777777" w:rsidR="00381CE2" w:rsidRPr="00381CE2" w:rsidRDefault="00381CE2" w:rsidP="00381CE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data are collected for specified, explicit, and legitimate purposes</w:t>
      </w:r>
      <w:r w:rsidRPr="00381CE2">
        <w:rPr>
          <w:rFonts w:ascii="Times New Roman" w:eastAsia="Times New Roman" w:hAnsi="Times New Roman" w:cs="Times New Roman"/>
          <w:kern w:val="0"/>
          <w14:ligatures w14:val="none"/>
        </w:rPr>
        <w:br/>
        <w:t>AND</w:t>
      </w:r>
    </w:p>
    <w:p w14:paraId="50919D76" w14:textId="77777777" w:rsidR="00381CE2" w:rsidRPr="00381CE2" w:rsidRDefault="00381CE2" w:rsidP="00381CE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further processing is compatible or justified under Article 89(1)</w:t>
      </w:r>
      <w:r w:rsidRPr="00381CE2">
        <w:rPr>
          <w:rFonts w:ascii="Times New Roman" w:eastAsia="Times New Roman" w:hAnsi="Times New Roman" w:cs="Times New Roman"/>
          <w:kern w:val="0"/>
          <w14:ligatures w14:val="none"/>
        </w:rPr>
        <w:br/>
        <w:t>AND</w:t>
      </w:r>
    </w:p>
    <w:p w14:paraId="7D528783" w14:textId="77777777" w:rsidR="00381CE2" w:rsidRPr="00381CE2" w:rsidRDefault="00381CE2" w:rsidP="00381CE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data are adequate, relevant, and limited to what is necessary</w:t>
      </w:r>
      <w:r w:rsidRPr="00381CE2">
        <w:rPr>
          <w:rFonts w:ascii="Times New Roman" w:eastAsia="Times New Roman" w:hAnsi="Times New Roman" w:cs="Times New Roman"/>
          <w:kern w:val="0"/>
          <w14:ligatures w14:val="none"/>
        </w:rPr>
        <w:br/>
        <w:t>AND</w:t>
      </w:r>
    </w:p>
    <w:p w14:paraId="6225B003" w14:textId="77777777" w:rsidR="00381CE2" w:rsidRPr="00381CE2" w:rsidRDefault="00381CE2" w:rsidP="00381CE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data are accurate and kept up to date</w:t>
      </w:r>
      <w:r w:rsidRPr="00381CE2">
        <w:rPr>
          <w:rFonts w:ascii="Times New Roman" w:eastAsia="Times New Roman" w:hAnsi="Times New Roman" w:cs="Times New Roman"/>
          <w:kern w:val="0"/>
          <w14:ligatures w14:val="none"/>
        </w:rPr>
        <w:br/>
        <w:t>AND</w:t>
      </w:r>
    </w:p>
    <w:p w14:paraId="5ADE53DB" w14:textId="77777777" w:rsidR="00381CE2" w:rsidRPr="00381CE2" w:rsidRDefault="00381CE2" w:rsidP="00381CE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data are retained only as long as necessary (unless stored for archiving/research/statistics with safeguards)</w:t>
      </w:r>
      <w:r w:rsidRPr="00381CE2">
        <w:rPr>
          <w:rFonts w:ascii="Times New Roman" w:eastAsia="Times New Roman" w:hAnsi="Times New Roman" w:cs="Times New Roman"/>
          <w:kern w:val="0"/>
          <w14:ligatures w14:val="none"/>
        </w:rPr>
        <w:br/>
        <w:t>AND</w:t>
      </w:r>
    </w:p>
    <w:p w14:paraId="1E43E090" w14:textId="77777777" w:rsidR="00381CE2" w:rsidRPr="00381CE2" w:rsidRDefault="00381CE2" w:rsidP="00381CE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appropriate technical and organisational measures ensure data security</w:t>
      </w:r>
      <w:r w:rsidRPr="00381CE2">
        <w:rPr>
          <w:rFonts w:ascii="Times New Roman" w:eastAsia="Times New Roman" w:hAnsi="Times New Roman" w:cs="Times New Roman"/>
          <w:kern w:val="0"/>
          <w14:ligatures w14:val="none"/>
        </w:rPr>
        <w:br/>
        <w:t>AND</w:t>
      </w:r>
    </w:p>
    <w:p w14:paraId="2D0AAC49" w14:textId="77777777" w:rsidR="00381CE2" w:rsidRPr="00381CE2" w:rsidRDefault="00381CE2" w:rsidP="00381CE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the controller can demonstrate compliance.</w:t>
      </w:r>
    </w:p>
    <w:p w14:paraId="0D803A4C" w14:textId="77777777" w:rsidR="00381CE2" w:rsidRPr="00381CE2" w:rsidRDefault="00381CE2" w:rsidP="00381CE2">
      <w:pPr>
        <w:spacing w:before="100" w:beforeAutospacing="1" w:after="100" w:afterAutospacing="1"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b/>
          <w:bCs/>
          <w:kern w:val="0"/>
          <w14:ligatures w14:val="none"/>
        </w:rPr>
        <w:t>Exceptions to the Rule:</w:t>
      </w:r>
    </w:p>
    <w:p w14:paraId="0B493DEB" w14:textId="77777777" w:rsidR="00381CE2" w:rsidRPr="00381CE2" w:rsidRDefault="00381CE2" w:rsidP="00381CE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 xml:space="preserve">Further processing for </w:t>
      </w:r>
      <w:r w:rsidRPr="00381CE2">
        <w:rPr>
          <w:rFonts w:ascii="Times New Roman" w:eastAsia="Times New Roman" w:hAnsi="Times New Roman" w:cs="Times New Roman"/>
          <w:i/>
          <w:iCs/>
          <w:kern w:val="0"/>
          <w14:ligatures w14:val="none"/>
        </w:rPr>
        <w:t>archiving, scientific, historical research, or statistical purposes</w:t>
      </w:r>
      <w:r w:rsidRPr="00381CE2">
        <w:rPr>
          <w:rFonts w:ascii="Times New Roman" w:eastAsia="Times New Roman" w:hAnsi="Times New Roman" w:cs="Times New Roman"/>
          <w:kern w:val="0"/>
          <w14:ligatures w14:val="none"/>
        </w:rPr>
        <w:t xml:space="preserve"> (Article 89(1)) is </w:t>
      </w:r>
      <w:r w:rsidRPr="00381CE2">
        <w:rPr>
          <w:rFonts w:ascii="Times New Roman" w:eastAsia="Times New Roman" w:hAnsi="Times New Roman" w:cs="Times New Roman"/>
          <w:b/>
          <w:bCs/>
          <w:kern w:val="0"/>
          <w14:ligatures w14:val="none"/>
        </w:rPr>
        <w:t>not incompatible</w:t>
      </w:r>
      <w:r w:rsidRPr="00381CE2">
        <w:rPr>
          <w:rFonts w:ascii="Times New Roman" w:eastAsia="Times New Roman" w:hAnsi="Times New Roman" w:cs="Times New Roman"/>
          <w:kern w:val="0"/>
          <w14:ligatures w14:val="none"/>
        </w:rPr>
        <w:t xml:space="preserve"> with the original purpose if safeguards exist.</w:t>
      </w:r>
    </w:p>
    <w:p w14:paraId="13D91EB7" w14:textId="77777777" w:rsidR="00381CE2" w:rsidRPr="00381CE2" w:rsidRDefault="00381CE2" w:rsidP="00381CE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Longer storage is permitted under the same conditions.</w:t>
      </w:r>
    </w:p>
    <w:p w14:paraId="0B7C0AC1" w14:textId="77777777" w:rsidR="00381CE2" w:rsidRPr="00381CE2" w:rsidRDefault="00381CE2" w:rsidP="00381CE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81CE2">
        <w:rPr>
          <w:rFonts w:ascii="Times New Roman" w:eastAsia="Times New Roman" w:hAnsi="Times New Roman" w:cs="Times New Roman"/>
          <w:kern w:val="0"/>
          <w14:ligatures w14:val="none"/>
        </w:rPr>
        <w:t>Member State laws may impose or permit deviations (Articles 6(2), 9(2)(g), 89(2)).</w:t>
      </w:r>
    </w:p>
    <w:p w14:paraId="1364E0FB" w14:textId="77777777" w:rsidR="00381CE2" w:rsidRPr="00381CE2" w:rsidRDefault="00381CE2"/>
    <w:sectPr w:rsidR="00381CE2" w:rsidRPr="00381CE2" w:rsidSect="00656B44">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64FA2"/>
    <w:multiLevelType w:val="multilevel"/>
    <w:tmpl w:val="9E16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FA5781"/>
    <w:multiLevelType w:val="multilevel"/>
    <w:tmpl w:val="4CCE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D96F04"/>
    <w:multiLevelType w:val="multilevel"/>
    <w:tmpl w:val="7954F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6407046">
    <w:abstractNumId w:val="2"/>
  </w:num>
  <w:num w:numId="2" w16cid:durableId="1403942059">
    <w:abstractNumId w:val="1"/>
  </w:num>
  <w:num w:numId="3" w16cid:durableId="1878660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CE2"/>
    <w:rsid w:val="000C4D38"/>
    <w:rsid w:val="001213D7"/>
    <w:rsid w:val="0015597A"/>
    <w:rsid w:val="001F5015"/>
    <w:rsid w:val="0022098F"/>
    <w:rsid w:val="00226678"/>
    <w:rsid w:val="002C0BC2"/>
    <w:rsid w:val="002D7B9C"/>
    <w:rsid w:val="00381CE2"/>
    <w:rsid w:val="00393F0C"/>
    <w:rsid w:val="00413976"/>
    <w:rsid w:val="00656B44"/>
    <w:rsid w:val="00691C0C"/>
    <w:rsid w:val="006C2607"/>
    <w:rsid w:val="007B1F99"/>
    <w:rsid w:val="007F01F9"/>
    <w:rsid w:val="008A0ECB"/>
    <w:rsid w:val="008B1357"/>
    <w:rsid w:val="00955679"/>
    <w:rsid w:val="00957B7D"/>
    <w:rsid w:val="00A86605"/>
    <w:rsid w:val="00BA5160"/>
    <w:rsid w:val="00C508EC"/>
    <w:rsid w:val="00C72D5C"/>
    <w:rsid w:val="00D0616B"/>
    <w:rsid w:val="00D56254"/>
    <w:rsid w:val="00DB531D"/>
    <w:rsid w:val="00E25E12"/>
    <w:rsid w:val="00F12FFE"/>
    <w:rsid w:val="00F329CE"/>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BB7E7"/>
  <w15:chartTrackingRefBased/>
  <w15:docId w15:val="{9250A174-36A7-3A42-97DB-B93EAEA24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381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1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1C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C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C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C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1C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1C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C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C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CE2"/>
    <w:rPr>
      <w:rFonts w:eastAsiaTheme="majorEastAsia" w:cstheme="majorBidi"/>
      <w:color w:val="272727" w:themeColor="text1" w:themeTint="D8"/>
    </w:rPr>
  </w:style>
  <w:style w:type="paragraph" w:styleId="Title">
    <w:name w:val="Title"/>
    <w:basedOn w:val="Normal"/>
    <w:next w:val="Normal"/>
    <w:link w:val="TitleChar"/>
    <w:uiPriority w:val="10"/>
    <w:qFormat/>
    <w:rsid w:val="00381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CE2"/>
    <w:pPr>
      <w:spacing w:before="160"/>
      <w:jc w:val="center"/>
    </w:pPr>
    <w:rPr>
      <w:i/>
      <w:iCs/>
      <w:color w:val="404040" w:themeColor="text1" w:themeTint="BF"/>
    </w:rPr>
  </w:style>
  <w:style w:type="character" w:customStyle="1" w:styleId="QuoteChar">
    <w:name w:val="Quote Char"/>
    <w:basedOn w:val="DefaultParagraphFont"/>
    <w:link w:val="Quote"/>
    <w:uiPriority w:val="29"/>
    <w:rsid w:val="00381CE2"/>
    <w:rPr>
      <w:rFonts w:cs="Arial Unicode MS"/>
      <w:i/>
      <w:iCs/>
      <w:color w:val="404040" w:themeColor="text1" w:themeTint="BF"/>
    </w:rPr>
  </w:style>
  <w:style w:type="paragraph" w:styleId="ListParagraph">
    <w:name w:val="List Paragraph"/>
    <w:basedOn w:val="Normal"/>
    <w:uiPriority w:val="34"/>
    <w:qFormat/>
    <w:rsid w:val="00381CE2"/>
    <w:pPr>
      <w:ind w:left="720"/>
      <w:contextualSpacing/>
    </w:pPr>
  </w:style>
  <w:style w:type="character" w:styleId="IntenseEmphasis">
    <w:name w:val="Intense Emphasis"/>
    <w:basedOn w:val="DefaultParagraphFont"/>
    <w:uiPriority w:val="21"/>
    <w:qFormat/>
    <w:rsid w:val="00381CE2"/>
    <w:rPr>
      <w:i/>
      <w:iCs/>
      <w:color w:val="0F4761" w:themeColor="accent1" w:themeShade="BF"/>
    </w:rPr>
  </w:style>
  <w:style w:type="paragraph" w:styleId="IntenseQuote">
    <w:name w:val="Intense Quote"/>
    <w:basedOn w:val="Normal"/>
    <w:next w:val="Normal"/>
    <w:link w:val="IntenseQuoteChar"/>
    <w:uiPriority w:val="30"/>
    <w:qFormat/>
    <w:rsid w:val="00381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CE2"/>
    <w:rPr>
      <w:rFonts w:cs="Arial Unicode MS"/>
      <w:i/>
      <w:iCs/>
      <w:color w:val="0F4761" w:themeColor="accent1" w:themeShade="BF"/>
    </w:rPr>
  </w:style>
  <w:style w:type="character" w:styleId="IntenseReference">
    <w:name w:val="Intense Reference"/>
    <w:basedOn w:val="DefaultParagraphFont"/>
    <w:uiPriority w:val="32"/>
    <w:qFormat/>
    <w:rsid w:val="00381CE2"/>
    <w:rPr>
      <w:b/>
      <w:bCs/>
      <w:smallCaps/>
      <w:color w:val="0F4761" w:themeColor="accent1" w:themeShade="BF"/>
      <w:spacing w:val="5"/>
    </w:rPr>
  </w:style>
  <w:style w:type="character" w:styleId="Strong">
    <w:name w:val="Strong"/>
    <w:basedOn w:val="DefaultParagraphFont"/>
    <w:uiPriority w:val="22"/>
    <w:qFormat/>
    <w:rsid w:val="00381CE2"/>
    <w:rPr>
      <w:b/>
      <w:bCs/>
    </w:rPr>
  </w:style>
  <w:style w:type="paragraph" w:styleId="NormalWeb">
    <w:name w:val="Normal (Web)"/>
    <w:basedOn w:val="Normal"/>
    <w:uiPriority w:val="99"/>
    <w:semiHidden/>
    <w:unhideWhenUsed/>
    <w:rsid w:val="00381C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81CE2"/>
    <w:rPr>
      <w:i/>
      <w:iCs/>
    </w:rPr>
  </w:style>
  <w:style w:type="character" w:styleId="Hyperlink">
    <w:name w:val="Hyperlink"/>
    <w:basedOn w:val="DefaultParagraphFont"/>
    <w:uiPriority w:val="99"/>
    <w:unhideWhenUsed/>
    <w:rsid w:val="00413976"/>
    <w:rPr>
      <w:color w:val="467886" w:themeColor="hyperlink"/>
      <w:u w:val="single"/>
    </w:rPr>
  </w:style>
  <w:style w:type="character" w:styleId="UnresolvedMention">
    <w:name w:val="Unresolved Mention"/>
    <w:basedOn w:val="DefaultParagraphFont"/>
    <w:uiPriority w:val="99"/>
    <w:semiHidden/>
    <w:unhideWhenUsed/>
    <w:rsid w:val="004139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share/690bc329-d120-8008-abe7-edae54a1669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822</Words>
  <Characters>4692</Characters>
  <Application>Microsoft Office Word</Application>
  <DocSecurity>0</DocSecurity>
  <Lines>39</Lines>
  <Paragraphs>11</Paragraphs>
  <ScaleCrop>false</ScaleCrop>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6</cp:revision>
  <dcterms:created xsi:type="dcterms:W3CDTF">2025-11-05T21:26:00Z</dcterms:created>
  <dcterms:modified xsi:type="dcterms:W3CDTF">2025-11-05T21:36:00Z</dcterms:modified>
</cp:coreProperties>
</file>