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Spatial Grid Fusion with Distance-Decayed Footprint for Lunar Resource Mapping</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Autonomous lunar In-Situ Resource Utilization (ISRU) requires robots to build and maintain probabilistic maps of subsurface water ice concentration from noisy, spatially sparse neutron spectrometer readings. Full Gaussian process regression, the standard approach for spatial prediction under uncertainty, is computationally intractable on space-rated processors due to its cubic scaling in the number of observations. We present a Bayesian spatial grid fusion algorithm that maintains a conjugate Gaussian posterior over each cell of a discrete spatial grid and propagates each sensor reading to neighboring cells through a distance-decayed Gaussian footprint kernel. The method achieves constant-time updates per observation, monotonically reduces posterior variance, and integrates directly with downstream task planning via an uncertainty-penalized site selection score. We derive the conjugate update equations, analyze the spatial footprint model, establish computational complexity bounds, and compare the approach against Kriging, simple averaging, and binary occupancy grids. The algorithm is implemented and validated within the SELENE fleet management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Introduction</w:t>
      </w:r>
    </w:p>
    <w:p>
      <w:pPr>
        <w:pStyle w:val="FirstParagraph"/>
      </w:pPr>
      <w:r>
        <w:t xml:space="preserve">Sustained human presence on the Moon depends on the ability to locate and extract water ice trapped in permanently shadowed regions (PSRs) of lunar polar craters. Orbital instruments such as the Lunar Prospector Neutron Spectrometer (LPNS), the Lunar Crater Observation and Sensing Satellite (LCROSS), and the Lunar Reconnaissance Orbiter’s LEND detector have confirmed the existence of hydrogen-bearing volatiles at the lunar poles, but their spatial resolution – on the order of tens of kilometers – is insufficient for directing surface mining operations. Ground-truth characterization must be performed by surface robots equipped with in-situ sensors, each of which provides a noisy, spatially localized estimate of subsurface ice concentration.</w:t>
      </w:r>
    </w:p>
    <w:p>
      <w:pPr>
        <w:pStyle w:val="BodyText"/>
      </w:pPr>
      <w:r>
        <w:t xml:space="preserve">The fundamental challenge is to fuse a stream of such readings into a coherent spatial map that (1) provides a best estimate of ice concentration at every location in the survey zone, (2) quantifies the uncertainty associated with each estimate, and (3) can be updated in real time on processors rated for the space environment – typically orders of magnitude less capable than terrestrial hardware.</w:t>
      </w:r>
    </w:p>
    <w:p>
      <w:pPr>
        <w:pStyle w:val="BodyText"/>
      </w:pPr>
      <w:r>
        <w:t xml:space="preserve">Gaussian process (GP) regression is the canonical solution for spatial prediction under uncertainty. However, its</w:t>
      </w:r>
      <w:r>
        <w:t xml:space="preserve"> </w:t>
      </w:r>
      <m:oMath>
        <m:r>
          <m:t>O</m:t>
        </m:r>
        <m:r>
          <m:rPr>
            <m:sty m:val="p"/>
          </m:rPr>
          <m:t>(</m:t>
        </m:r>
        <m:sSup>
          <m:e>
            <m:r>
              <m:t>N</m:t>
            </m:r>
          </m:e>
          <m:sup>
            <m:r>
              <m:t>3</m:t>
            </m:r>
          </m:sup>
        </m:sSup>
        <m:r>
          <m:rPr>
            <m:sty m:val="p"/>
          </m:rPr>
          <m:t>)</m:t>
        </m:r>
      </m:oMath>
      <w:r>
        <w:t xml:space="preserve"> </w:t>
      </w:r>
      <w:r>
        <w:t xml:space="preserve">time and</w:t>
      </w:r>
      <w:r>
        <w:t xml:space="preserve"> </w:t>
      </w:r>
      <m:oMath>
        <m:r>
          <m:t>O</m:t>
        </m:r>
        <m:r>
          <m:rPr>
            <m:sty m:val="p"/>
          </m:rPr>
          <m:t>(</m:t>
        </m:r>
        <m:sSup>
          <m:e>
            <m:r>
              <m:t>N</m:t>
            </m:r>
          </m:e>
          <m:sup>
            <m:r>
              <m:t>2</m:t>
            </m:r>
          </m:sup>
        </m:sSup>
        <m:r>
          <m:rPr>
            <m:sty m:val="p"/>
          </m:rPr>
          <m:t>)</m:t>
        </m:r>
      </m:oMath>
      <w:r>
        <w:t xml:space="preserve"> </w:t>
      </w:r>
      <w:r>
        <w:t xml:space="preserve">memory complexity in the number of observations renders it impractical for onboard use when hundreds or thousands of readings accumulate during a survey campaign. Sparse GP approximations reduce this cost but introduce approximation error and implementation complexity ill-suited to safety-critical flight software.</w:t>
      </w:r>
    </w:p>
    <w:p>
      <w:pPr>
        <w:pStyle w:val="BodyText"/>
      </w:pPr>
      <w:r>
        <w:t xml:space="preserve">This paper presents the Bayesian spatial grid fusion algorithm implemented in SELENE’s</w:t>
      </w:r>
      <w:r>
        <w:t xml:space="preserve"> </w:t>
      </w:r>
      <w:r>
        <w:rPr>
          <w:rStyle w:val="VerbatimChar"/>
        </w:rPr>
        <w:t xml:space="preserve">ResourceMap</w:t>
      </w:r>
      <w:r>
        <w:t xml:space="preserve"> </w:t>
      </w:r>
      <w:r>
        <w:t xml:space="preserve">module. The approach discretizes the survey zone into a fixed-resolution grid and maintains an independent conjugate Gaussian posterior at each cell. Sensor readings are propagated to all cells within a spatial footprint radius, with observation weight decaying as a Gaussian function of distance from the sensor. This yields</w:t>
      </w:r>
      <w:r>
        <w:t xml:space="preserve"> </w:t>
      </w:r>
      <m:oMath>
        <m:r>
          <m:t>O</m:t>
        </m:r>
        <m:r>
          <m:rPr>
            <m:sty m:val="p"/>
          </m:rPr>
          <m:t>(</m:t>
        </m:r>
        <m:r>
          <m:t>1</m:t>
        </m:r>
        <m:r>
          <m:rPr>
            <m:sty m:val="p"/>
          </m:rPr>
          <m:t>)</m:t>
        </m:r>
      </m:oMath>
      <w:r>
        <w:t xml:space="preserve"> </w:t>
      </w:r>
      <w:r>
        <w:t xml:space="preserve">updates per reading (constant with respect to the number of prior observations), monotonically decreasing posterior variance, and a principled integration of spatial correlation without the computational burden of full GP inference.</w:t>
      </w:r>
    </w:p>
    <w:p>
      <w:pPr>
        <w:pStyle w:val="BodyText"/>
      </w:pPr>
      <w:r>
        <w:t xml:space="preserve">The remainder of this paper is organized as follows. Section 2 provides background on Bayesian inference, occupancy grids, and Gaussian processes. Section 3 formalizes the problem. Sections 4 and 5 derive the conjugate update equations and the spatial footprint model, respectively. Section 6 describes the grid coordinate system. Section 7 details integration with SELENE’s adaptive survey planner and HTN mission planner. Section 8 analyzes computational complexity. Section 9 compares the approach with alternative methods. Section 10 surveys related work, and Section 11 concludes.</w:t>
      </w:r>
    </w:p>
    <w:bookmarkEnd w:id="9"/>
    <w:bookmarkStart w:id="13" w:name="background"/>
    <w:p>
      <w:pPr>
        <w:pStyle w:val="Heading1"/>
      </w:pPr>
      <w:r>
        <w:rPr>
          <w:rStyle w:val="SectionNumber"/>
        </w:rPr>
        <w:t xml:space="preserve">2</w:t>
      </w:r>
      <w:r>
        <w:tab/>
      </w:r>
      <w:r>
        <w:t xml:space="preserve">Background</w:t>
      </w:r>
    </w:p>
    <w:bookmarkStart w:id="10" w:name="X80fc0e5c47f6229670cc53f3bf95e6dfbedea5f"/>
    <w:p>
      <w:pPr>
        <w:pStyle w:val="Heading2"/>
      </w:pPr>
      <w:r>
        <w:rPr>
          <w:rStyle w:val="SectionNumber"/>
        </w:rPr>
        <w:t xml:space="preserve">2.1</w:t>
      </w:r>
      <w:r>
        <w:tab/>
      </w:r>
      <w:r>
        <w:t xml:space="preserve">Bayesian Inference for Sequential Estimation</w:t>
      </w:r>
    </w:p>
    <w:p>
      <w:pPr>
        <w:pStyle w:val="FirstParagraph"/>
      </w:pPr>
      <w:r>
        <w:t xml:space="preserve">Bayesian inference provides a principled framework for updating beliefs as new evidence arrives. Given a prior distribution</w:t>
      </w:r>
      <w:r>
        <w:t xml:space="preserve"> </w:t>
      </w:r>
      <m:oMath>
        <m:r>
          <m:t>p</m:t>
        </m:r>
        <m:r>
          <m:rPr>
            <m:sty m:val="p"/>
          </m:rPr>
          <m:t>(</m:t>
        </m:r>
        <m:r>
          <m:t>θ</m:t>
        </m:r>
        <m:r>
          <m:rPr>
            <m:sty m:val="p"/>
          </m:rPr>
          <m:t>)</m:t>
        </m:r>
      </m:oMath>
      <w:r>
        <w:t xml:space="preserve"> </w:t>
      </w:r>
      <w:r>
        <w:t xml:space="preserve">over a parameter</w:t>
      </w:r>
      <w:r>
        <w:t xml:space="preserve"> </w:t>
      </w:r>
      <m:oMath>
        <m:r>
          <m:t>θ</m:t>
        </m:r>
      </m:oMath>
      <w:r>
        <w:t xml:space="preserve"> </w:t>
      </w:r>
      <w:r>
        <w:t xml:space="preserve">and a likelihood function</w:t>
      </w:r>
      <w:r>
        <w:t xml:space="preserve"> </w:t>
      </w:r>
      <m:oMath>
        <m:r>
          <m:t>p</m:t>
        </m:r>
        <m:r>
          <m:rPr>
            <m:sty m:val="p"/>
          </m:rPr>
          <m:t>(</m:t>
        </m:r>
        <m:r>
          <m:t>z</m:t>
        </m:r>
        <m:r>
          <m:rPr>
            <m:sty m:val="p"/>
          </m:rPr>
          <m:t>∣</m:t>
        </m:r>
        <m:r>
          <m:t>θ</m:t>
        </m:r>
        <m:r>
          <m:rPr>
            <m:sty m:val="p"/>
          </m:rPr>
          <m:t>)</m:t>
        </m:r>
      </m:oMath>
      <w:r>
        <w:t xml:space="preserve"> </w:t>
      </w:r>
      <w:r>
        <w:t xml:space="preserve">for an observation</w:t>
      </w:r>
      <w:r>
        <w:t xml:space="preserve"> </w:t>
      </w:r>
      <m:oMath>
        <m:r>
          <m:t>z</m:t>
        </m:r>
      </m:oMath>
      <w:r>
        <w:t xml:space="preserve">, the posterior is obtained via Bayes’ theorem:</w:t>
      </w:r>
    </w:p>
    <w:p>
      <w:pPr>
        <w:pStyle w:val="BodyText"/>
      </w:pPr>
      <m:oMathPara>
        <m:oMathParaPr>
          <m:jc m:val="center"/>
        </m:oMathParaPr>
        <m:oMath>
          <m:r>
            <m:t>p</m:t>
          </m:r>
          <m:r>
            <m:rPr>
              <m:sty m:val="p"/>
            </m:rPr>
            <m:t>(</m:t>
          </m:r>
          <m:r>
            <m:t>θ</m:t>
          </m:r>
          <m:r>
            <m:rPr>
              <m:sty m:val="p"/>
            </m:rPr>
            <m:t>∣</m:t>
          </m:r>
          <m:r>
            <m:t>z</m:t>
          </m:r>
          <m:r>
            <m:rPr>
              <m:sty m:val="p"/>
            </m:rPr>
            <m:t>)</m:t>
          </m:r>
          <m:r>
            <m:rPr>
              <m:sty m:val="p"/>
            </m:rPr>
            <m:t>=</m:t>
          </m:r>
          <m:f>
            <m:fPr>
              <m:type m:val="bar"/>
            </m:fPr>
            <m:num>
              <m:r>
                <m:t>p</m:t>
              </m:r>
              <m:r>
                <m:rPr>
                  <m:sty m:val="p"/>
                </m:rPr>
                <m:t>(</m:t>
              </m:r>
              <m:r>
                <m:t>z</m:t>
              </m:r>
              <m:r>
                <m:rPr>
                  <m:sty m:val="p"/>
                </m:rPr>
                <m:t>∣</m:t>
              </m:r>
              <m:r>
                <m:t>θ</m:t>
              </m:r>
              <m:r>
                <m:rPr>
                  <m:sty m:val="p"/>
                </m:rPr>
                <m:t>)</m:t>
              </m:r>
              <m:r>
                <m:t> </m:t>
              </m:r>
              <m:r>
                <m:t>p</m:t>
              </m:r>
              <m:r>
                <m:rPr>
                  <m:sty m:val="p"/>
                </m:rPr>
                <m:t>(</m:t>
              </m:r>
              <m:r>
                <m:t>θ</m:t>
              </m:r>
              <m:r>
                <m:rPr>
                  <m:sty m:val="p"/>
                </m:rPr>
                <m:t>)</m:t>
              </m:r>
            </m:num>
            <m:den>
              <m:r>
                <m:t>p</m:t>
              </m:r>
              <m:r>
                <m:rPr>
                  <m:sty m:val="p"/>
                </m:rPr>
                <m:t>(</m:t>
              </m:r>
              <m:r>
                <m:t>z</m:t>
              </m:r>
              <m:r>
                <m:rPr>
                  <m:sty m:val="p"/>
                </m:rPr>
                <m:t>)</m:t>
              </m:r>
            </m:den>
          </m:f>
        </m:oMath>
      </m:oMathPara>
    </w:p>
    <w:p>
      <w:pPr>
        <w:pStyle w:val="FirstParagraph"/>
      </w:pPr>
      <w:r>
        <w:t xml:space="preserve">When the prior and likelihood belong to the same exponential family – a</w:t>
      </w:r>
      <w:r>
        <w:t xml:space="preserve"> </w:t>
      </w:r>
      <w:r>
        <w:rPr>
          <w:i/>
          <w:iCs/>
        </w:rPr>
        <w:t xml:space="preserve">conjugate pair</w:t>
      </w:r>
      <w:r>
        <w:t xml:space="preserve"> </w:t>
      </w:r>
      <w:r>
        <w:t xml:space="preserve">– the posterior has the same functional form as the prior, enabling closed-form sequential updates without numerical integration. The Gaussian-Gaussian conjugate pair, where both prior and likelihood are normal distributions, is the foundation of this work.</w:t>
      </w:r>
    </w:p>
    <w:bookmarkEnd w:id="10"/>
    <w:bookmarkStart w:id="11" w:name="occupancy-grid-mapping"/>
    <w:p>
      <w:pPr>
        <w:pStyle w:val="Heading2"/>
      </w:pPr>
      <w:r>
        <w:rPr>
          <w:rStyle w:val="SectionNumber"/>
        </w:rPr>
        <w:t xml:space="preserve">2.2</w:t>
      </w:r>
      <w:r>
        <w:tab/>
      </w:r>
      <w:r>
        <w:t xml:space="preserve">Occupancy Grid Mapping</w:t>
      </w:r>
    </w:p>
    <w:p>
      <w:pPr>
        <w:pStyle w:val="FirstParagraph"/>
      </w:pPr>
      <w:r>
        <w:t xml:space="preserve">Occupancy grid mapping, introduced by Moravec and Elfes (1985), discretizes the environment into a grid of cells, each maintaining an independent probability of occupancy. The independence assumption – that observations update cells independently – sacrifices inter-cell spatial correlation in exchange for computational tractability. Each cell can be updated in</w:t>
      </w:r>
      <w:r>
        <w:t xml:space="preserve"> </w:t>
      </w:r>
      <m:oMath>
        <m:r>
          <m:t>O</m:t>
        </m:r>
        <m:r>
          <m:rPr>
            <m:sty m:val="p"/>
          </m:rPr>
          <m:t>(</m:t>
        </m:r>
        <m:r>
          <m:t>1</m:t>
        </m:r>
        <m:r>
          <m:rPr>
            <m:sty m:val="p"/>
          </m:rPr>
          <m:t>)</m:t>
        </m:r>
      </m:oMath>
      <w:r>
        <w:t xml:space="preserve"> </w:t>
      </w:r>
      <w:r>
        <w:t xml:space="preserve">time, and the grid as a whole requires</w:t>
      </w:r>
      <w:r>
        <w:t xml:space="preserve"> </w:t>
      </w:r>
      <m:oMath>
        <m:r>
          <m:t>O</m:t>
        </m:r>
        <m:r>
          <m:rPr>
            <m:sty m:val="p"/>
          </m:rPr>
          <m:t>(</m:t>
        </m:r>
        <m:r>
          <m:t>W</m:t>
        </m:r>
        <m:r>
          <m:rPr>
            <m:sty m:val="p"/>
          </m:rPr>
          <m:t>×</m:t>
        </m:r>
        <m:r>
          <m:t>H</m:t>
        </m:r>
        <m:r>
          <m:rPr>
            <m:sty m:val="p"/>
          </m:rPr>
          <m:t>)</m:t>
        </m:r>
      </m:oMath>
      <w:r>
        <w:t xml:space="preserve"> </w:t>
      </w:r>
      <w:r>
        <w:t xml:space="preserve">storage. This paradigm has been applied extensively in mobile robotics for obstacle mapping.</w:t>
      </w:r>
    </w:p>
    <w:p>
      <w:pPr>
        <w:pStyle w:val="BodyText"/>
      </w:pPr>
      <w:r>
        <w:t xml:space="preserve">Our approach extends the occupancy grid paradigm in two ways: (1) cells store continuous-valued Gaussian posteriors rather than binary occupancy probabilities, and (2) each observation updates multiple cells through a distance-decayed kernel, partially recovering the spatial correlation that the cell-independence assumption discards.</w:t>
      </w:r>
    </w:p>
    <w:bookmarkEnd w:id="11"/>
    <w:bookmarkStart w:id="12" w:name="gaussian-process-regression"/>
    <w:p>
      <w:pPr>
        <w:pStyle w:val="Heading2"/>
      </w:pPr>
      <w:r>
        <w:rPr>
          <w:rStyle w:val="SectionNumber"/>
        </w:rPr>
        <w:t xml:space="preserve">2.3</w:t>
      </w:r>
      <w:r>
        <w:tab/>
      </w:r>
      <w:r>
        <w:t xml:space="preserve">Gaussian Process Regression</w:t>
      </w:r>
    </w:p>
    <w:p>
      <w:pPr>
        <w:pStyle w:val="FirstParagraph"/>
      </w:pPr>
      <w:r>
        <w:t xml:space="preserve">A Gaussian process (GP) defines a distribution over functions such that any finite collection of function values follows a multivariate Gaussian distribution. Given a set of</w:t>
      </w:r>
      <w:r>
        <w:t xml:space="preserve"> </w:t>
      </w:r>
      <m:oMath>
        <m:r>
          <m:t>N</m:t>
        </m:r>
      </m:oMath>
      <w:r>
        <w:t xml:space="preserve"> </w:t>
      </w:r>
      <w:r>
        <w:t xml:space="preserve">observations</w:t>
      </w:r>
      <w:r>
        <w:t xml:space="preserve"> </w:t>
      </w:r>
      <m:oMath>
        <m:r>
          <m:rPr>
            <m:sty m:val="p"/>
          </m:rPr>
          <m:t>{</m:t>
        </m:r>
        <m:r>
          <m:rPr>
            <m:sty m:val="p"/>
          </m:rPr>
          <m:t>(</m:t>
        </m:r>
        <m:sSub>
          <m:e>
            <m:r>
              <m:rPr>
                <m:sty m:val="bi"/>
              </m:rPr>
              <m:t>x</m:t>
            </m:r>
          </m:e>
          <m:sub>
            <m:r>
              <m:t>i</m:t>
            </m:r>
          </m:sub>
        </m:sSub>
        <m:r>
          <m:rPr>
            <m:sty m:val="p"/>
          </m:rPr>
          <m:t>,</m:t>
        </m:r>
        <m:sSub>
          <m:e>
            <m:r>
              <m:t>z</m:t>
            </m:r>
          </m:e>
          <m:sub>
            <m:r>
              <m:t>i</m:t>
            </m:r>
          </m:sub>
        </m:sSub>
        <m:r>
          <m:rPr>
            <m:sty m:val="p"/>
          </m:rPr>
          <m:t>)</m:t>
        </m:r>
        <m:sSubSup>
          <m:e>
            <m:r>
              <m:rPr>
                <m:sty m:val="p"/>
              </m:rPr>
              <m:t>}</m:t>
            </m:r>
          </m:e>
          <m:sub>
            <m:r>
              <m:t>i</m:t>
            </m:r>
            <m:r>
              <m:rPr>
                <m:sty m:val="p"/>
              </m:rPr>
              <m:t>=</m:t>
            </m:r>
            <m:r>
              <m:t>1</m:t>
            </m:r>
          </m:sub>
          <m:sup>
            <m:r>
              <m:t>N</m:t>
            </m:r>
          </m:sup>
        </m:sSubSup>
      </m:oMath>
      <w:r>
        <w:t xml:space="preserve">, the GP posterior mean and variance at an unobserved location</w:t>
      </w:r>
      <w:r>
        <w:t xml:space="preserve"> </w:t>
      </w:r>
      <m:oMath>
        <m:sSub>
          <m:e>
            <m:r>
              <m:rPr>
                <m:sty m:val="bi"/>
              </m:rPr>
              <m:t>x</m:t>
            </m:r>
          </m:e>
          <m:sub>
            <m:r>
              <m:rPr>
                <m:sty m:val="p"/>
              </m:rPr>
              <m:t>*</m:t>
            </m:r>
          </m:sub>
        </m:sSub>
      </m:oMath>
      <w:r>
        <w:t xml:space="preserve"> </w:t>
      </w:r>
      <w:r>
        <w:t xml:space="preserve">are:</w:t>
      </w:r>
    </w:p>
    <w:p>
      <w:pPr>
        <w:pStyle w:val="BodyText"/>
      </w:pPr>
      <m:oMathPara>
        <m:oMathParaPr>
          <m:jc m:val="center"/>
        </m:oMathParaPr>
        <m:oMath>
          <m:r>
            <m:t>μ</m:t>
          </m:r>
          <m:r>
            <m:rPr>
              <m:sty m:val="p"/>
            </m:rPr>
            <m:t>(</m:t>
          </m:r>
          <m:sSub>
            <m:e>
              <m:r>
                <m:rPr>
                  <m:sty m:val="bi"/>
                </m:rPr>
                <m:t>x</m:t>
              </m:r>
            </m:e>
            <m:sub>
              <m:r>
                <m:rPr>
                  <m:sty m:val="p"/>
                </m:rPr>
                <m:t>*</m:t>
              </m:r>
            </m:sub>
          </m:sSub>
          <m:r>
            <m:rPr>
              <m:sty m:val="p"/>
            </m:rPr>
            <m:t>)</m:t>
          </m:r>
          <m:r>
            <m:rPr>
              <m:sty m:val="p"/>
            </m:rPr>
            <m:t>=</m:t>
          </m:r>
          <m:sSubSup>
            <m:e>
              <m:r>
                <m:rPr>
                  <m:sty m:val="bi"/>
                </m:rPr>
                <m:t>k</m:t>
              </m:r>
            </m:e>
            <m:sub>
              <m:r>
                <m:rPr>
                  <m:sty m:val="p"/>
                </m:rPr>
                <m:t>*</m:t>
              </m:r>
            </m:sub>
            <m:sup>
              <m:r>
                <m:t>T</m:t>
              </m:r>
            </m:sup>
          </m:sSubSup>
          <m:r>
            <m:rPr>
              <m:sty m:val="p"/>
            </m:rPr>
            <m:t>(</m:t>
          </m:r>
          <m:r>
            <m:rPr>
              <m:sty m:val="bi"/>
            </m:rPr>
            <m:t>K</m:t>
          </m:r>
          <m:r>
            <m:rPr>
              <m:sty m:val="p"/>
            </m:rPr>
            <m:t>+</m:t>
          </m:r>
          <m:sSubSup>
            <m:e>
              <m:r>
                <m:t>σ</m:t>
              </m:r>
            </m:e>
            <m:sub>
              <m:r>
                <m:t>n</m:t>
              </m:r>
            </m:sub>
            <m:sup>
              <m:r>
                <m:t>2</m:t>
              </m:r>
            </m:sup>
          </m:sSubSup>
          <m:r>
            <m:rPr>
              <m:sty m:val="bi"/>
            </m:rPr>
            <m:t>I</m:t>
          </m:r>
          <m:sSup>
            <m:e>
              <m:r>
                <m:rPr>
                  <m:sty m:val="p"/>
                </m:rPr>
                <m:t>)</m:t>
              </m:r>
            </m:e>
            <m:sup>
              <m:r>
                <m:rPr>
                  <m:sty m:val="p"/>
                </m:rPr>
                <m:t>−</m:t>
              </m:r>
              <m:r>
                <m:t>1</m:t>
              </m:r>
            </m:sup>
          </m:sSup>
          <m:r>
            <m:rPr>
              <m:sty m:val="bi"/>
            </m:rPr>
            <m:t>z</m:t>
          </m:r>
        </m:oMath>
      </m:oMathPara>
    </w:p>
    <w:p>
      <w:pPr>
        <w:pStyle w:val="FirstParagraph"/>
      </w:pPr>
      <m:oMathPara>
        <m:oMathParaPr>
          <m:jc m:val="center"/>
        </m:oMathParaPr>
        <m:oMath>
          <m:sSup>
            <m:e>
              <m:r>
                <m:t>σ</m:t>
              </m:r>
            </m:e>
            <m:sup>
              <m:r>
                <m:t>2</m:t>
              </m:r>
            </m:sup>
          </m:sSup>
          <m:r>
            <m:rPr>
              <m:sty m:val="p"/>
            </m:rPr>
            <m:t>(</m:t>
          </m:r>
          <m:sSub>
            <m:e>
              <m:r>
                <m:rPr>
                  <m:sty m:val="bi"/>
                </m:rPr>
                <m:t>x</m:t>
              </m:r>
            </m:e>
            <m:sub>
              <m:r>
                <m:rPr>
                  <m:sty m:val="p"/>
                </m:rPr>
                <m:t>*</m:t>
              </m:r>
            </m:sub>
          </m:sSub>
          <m:r>
            <m:rPr>
              <m:sty m:val="p"/>
            </m:rPr>
            <m:t>)</m:t>
          </m:r>
          <m:r>
            <m:rPr>
              <m:sty m:val="p"/>
            </m:rPr>
            <m:t>=</m:t>
          </m:r>
          <m:r>
            <m:t>k</m:t>
          </m:r>
          <m:r>
            <m:rPr>
              <m:sty m:val="p"/>
            </m:rPr>
            <m:t>(</m:t>
          </m:r>
          <m:sSub>
            <m:e>
              <m:r>
                <m:rPr>
                  <m:sty m:val="bi"/>
                </m:rPr>
                <m:t>x</m:t>
              </m:r>
            </m:e>
            <m:sub>
              <m:r>
                <m:rPr>
                  <m:sty m:val="p"/>
                </m:rPr>
                <m:t>*</m:t>
              </m:r>
            </m:sub>
          </m:sSub>
          <m:r>
            <m:rPr>
              <m:sty m:val="p"/>
            </m:rPr>
            <m:t>,</m:t>
          </m:r>
          <m:sSub>
            <m:e>
              <m:r>
                <m:rPr>
                  <m:sty m:val="bi"/>
                </m:rPr>
                <m:t>x</m:t>
              </m:r>
            </m:e>
            <m:sub>
              <m:r>
                <m:rPr>
                  <m:sty m:val="p"/>
                </m:rPr>
                <m:t>*</m:t>
              </m:r>
            </m:sub>
          </m:sSub>
          <m:r>
            <m:rPr>
              <m:sty m:val="p"/>
            </m:rPr>
            <m:t>)</m:t>
          </m:r>
          <m:r>
            <m:rPr>
              <m:sty m:val="p"/>
            </m:rPr>
            <m:t>−</m:t>
          </m:r>
          <m:sSubSup>
            <m:e>
              <m:r>
                <m:rPr>
                  <m:sty m:val="bi"/>
                </m:rPr>
                <m:t>k</m:t>
              </m:r>
            </m:e>
            <m:sub>
              <m:r>
                <m:rPr>
                  <m:sty m:val="p"/>
                </m:rPr>
                <m:t>*</m:t>
              </m:r>
            </m:sub>
            <m:sup>
              <m:r>
                <m:t>T</m:t>
              </m:r>
            </m:sup>
          </m:sSubSup>
          <m:r>
            <m:rPr>
              <m:sty m:val="p"/>
            </m:rPr>
            <m:t>(</m:t>
          </m:r>
          <m:r>
            <m:rPr>
              <m:sty m:val="bi"/>
            </m:rPr>
            <m:t>K</m:t>
          </m:r>
          <m:r>
            <m:rPr>
              <m:sty m:val="p"/>
            </m:rPr>
            <m:t>+</m:t>
          </m:r>
          <m:sSubSup>
            <m:e>
              <m:r>
                <m:t>σ</m:t>
              </m:r>
            </m:e>
            <m:sub>
              <m:r>
                <m:t>n</m:t>
              </m:r>
            </m:sub>
            <m:sup>
              <m:r>
                <m:t>2</m:t>
              </m:r>
            </m:sup>
          </m:sSubSup>
          <m:r>
            <m:rPr>
              <m:sty m:val="bi"/>
            </m:rPr>
            <m:t>I</m:t>
          </m:r>
          <m:sSup>
            <m:e>
              <m:r>
                <m:rPr>
                  <m:sty m:val="p"/>
                </m:rPr>
                <m:t>)</m:t>
              </m:r>
            </m:e>
            <m:sup>
              <m:r>
                <m:rPr>
                  <m:sty m:val="p"/>
                </m:rPr>
                <m:t>−</m:t>
              </m:r>
              <m:r>
                <m:t>1</m:t>
              </m:r>
            </m:sup>
          </m:sSup>
          <m:sSub>
            <m:e>
              <m:r>
                <m:rPr>
                  <m:sty m:val="bi"/>
                </m:rPr>
                <m:t>k</m:t>
              </m:r>
            </m:e>
            <m:sub>
              <m:r>
                <m:rPr>
                  <m:sty m:val="p"/>
                </m:rPr>
                <m:t>*</m:t>
              </m:r>
            </m:sub>
          </m:sSub>
        </m:oMath>
      </m:oMathPara>
    </w:p>
    <w:p>
      <w:pPr>
        <w:pStyle w:val="FirstParagraph"/>
      </w:pPr>
      <w:r>
        <w:t xml:space="preserve">where</w:t>
      </w:r>
      <w:r>
        <w:t xml:space="preserve"> </w:t>
      </w:r>
      <m:oMath>
        <m:r>
          <m:rPr>
            <m:sty m:val="bi"/>
          </m:rPr>
          <m:t>K</m:t>
        </m:r>
      </m:oMath>
      <w:r>
        <w:t xml:space="preserve"> </w:t>
      </w:r>
      <w:r>
        <w:t xml:space="preserve">is the</w:t>
      </w:r>
      <w:r>
        <w:t xml:space="preserve"> </w:t>
      </w:r>
      <m:oMath>
        <m:r>
          <m:t>N</m:t>
        </m:r>
        <m:r>
          <m:rPr>
            <m:sty m:val="p"/>
          </m:rPr>
          <m:t>×</m:t>
        </m:r>
        <m:r>
          <m:t>N</m:t>
        </m:r>
      </m:oMath>
      <w:r>
        <w:t xml:space="preserve"> </w:t>
      </w:r>
      <w:r>
        <w:t xml:space="preserve">kernel matrix,</w:t>
      </w:r>
      <w:r>
        <w:t xml:space="preserve"> </w:t>
      </w:r>
      <m:oMath>
        <m:sSub>
          <m:e>
            <m:r>
              <m:rPr>
                <m:sty m:val="bi"/>
              </m:rPr>
              <m:t>k</m:t>
            </m:r>
          </m:e>
          <m:sub>
            <m:r>
              <m:rPr>
                <m:sty m:val="p"/>
              </m:rPr>
              <m:t>*</m:t>
            </m:r>
          </m:sub>
        </m:sSub>
      </m:oMath>
      <w:r>
        <w:t xml:space="preserve"> </w:t>
      </w:r>
      <w:r>
        <w:t xml:space="preserve">is the</w:t>
      </w:r>
      <w:r>
        <w:t xml:space="preserve"> </w:t>
      </w:r>
      <m:oMath>
        <m:r>
          <m:t>N</m:t>
        </m:r>
        <m:r>
          <m:rPr>
            <m:sty m:val="p"/>
          </m:rPr>
          <m:t>×</m:t>
        </m:r>
        <m:r>
          <m:t>1</m:t>
        </m:r>
      </m:oMath>
      <w:r>
        <w:t xml:space="preserve"> </w:t>
      </w:r>
      <w:r>
        <w:t xml:space="preserve">vector of kernel evaluations between the test point and training points, and</w:t>
      </w:r>
      <w:r>
        <w:t xml:space="preserve"> </w:t>
      </w:r>
      <m:oMath>
        <m:sSubSup>
          <m:e>
            <m:r>
              <m:t>σ</m:t>
            </m:r>
          </m:e>
          <m:sub>
            <m:r>
              <m:t>n</m:t>
            </m:r>
          </m:sub>
          <m:sup>
            <m:r>
              <m:t>2</m:t>
            </m:r>
          </m:sup>
        </m:sSubSup>
      </m:oMath>
      <w:r>
        <w:t xml:space="preserve"> </w:t>
      </w:r>
      <w:r>
        <w:t xml:space="preserve">is the observation noise variance. The inversion of the</w:t>
      </w:r>
      <w:r>
        <w:t xml:space="preserve"> </w:t>
      </w:r>
      <m:oMath>
        <m:r>
          <m:t>N</m:t>
        </m:r>
        <m:r>
          <m:rPr>
            <m:sty m:val="p"/>
          </m:rPr>
          <m:t>×</m:t>
        </m:r>
        <m:r>
          <m:t>N</m:t>
        </m:r>
      </m:oMath>
      <w:r>
        <w:t xml:space="preserve"> </w:t>
      </w:r>
      <w:r>
        <w:t xml:space="preserve">matrix incurs</w:t>
      </w:r>
      <w:r>
        <w:t xml:space="preserve"> </w:t>
      </w:r>
      <m:oMath>
        <m:r>
          <m:t>O</m:t>
        </m:r>
        <m:r>
          <m:rPr>
            <m:sty m:val="p"/>
          </m:rPr>
          <m:t>(</m:t>
        </m:r>
        <m:sSup>
          <m:e>
            <m:r>
              <m:t>N</m:t>
            </m:r>
          </m:e>
          <m:sup>
            <m:r>
              <m:t>3</m:t>
            </m:r>
          </m:sup>
        </m:sSup>
        <m:r>
          <m:rPr>
            <m:sty m:val="p"/>
          </m:rPr>
          <m:t>)</m:t>
        </m:r>
      </m:oMath>
      <w:r>
        <w:t xml:space="preserve"> </w:t>
      </w:r>
      <w:r>
        <w:t xml:space="preserve">time and</w:t>
      </w:r>
      <w:r>
        <w:t xml:space="preserve"> </w:t>
      </w:r>
      <m:oMath>
        <m:r>
          <m:t>O</m:t>
        </m:r>
        <m:r>
          <m:rPr>
            <m:sty m:val="p"/>
          </m:rPr>
          <m:t>(</m:t>
        </m:r>
        <m:sSup>
          <m:e>
            <m:r>
              <m:t>N</m:t>
            </m:r>
          </m:e>
          <m:sup>
            <m:r>
              <m:t>2</m:t>
            </m:r>
          </m:sup>
        </m:sSup>
        <m:r>
          <m:rPr>
            <m:sty m:val="p"/>
          </m:rPr>
          <m:t>)</m:t>
        </m:r>
      </m:oMath>
      <w:r>
        <w:t xml:space="preserve"> </w:t>
      </w:r>
      <w:r>
        <w:t xml:space="preserve">storage – costs that grow without bound as observations accumulate.</w:t>
      </w:r>
    </w:p>
    <w:p>
      <w:pPr>
        <w:pStyle w:val="BodyText"/>
      </w:pPr>
      <w:r>
        <w:t xml:space="preserve">Sparse GP methods (inducing points, FITC, variational approaches) reduce complexity to</w:t>
      </w:r>
      <w:r>
        <w:t xml:space="preserve"> </w:t>
      </w:r>
      <m:oMath>
        <m:r>
          <m:t>O</m:t>
        </m:r>
        <m:r>
          <m:rPr>
            <m:sty m:val="p"/>
          </m:rPr>
          <m:t>(</m:t>
        </m:r>
        <m:r>
          <m:t>N</m:t>
        </m:r>
        <m:sSup>
          <m:e>
            <m:r>
              <m:t>M</m:t>
            </m:r>
          </m:e>
          <m:sup>
            <m:r>
              <m:t>2</m:t>
            </m:r>
          </m:sup>
        </m:sSup>
        <m:r>
          <m:rPr>
            <m:sty m:val="p"/>
          </m:rPr>
          <m:t>)</m:t>
        </m:r>
      </m:oMath>
      <w:r>
        <w:t xml:space="preserve"> </w:t>
      </w:r>
      <w:r>
        <w:t xml:space="preserve">for</w:t>
      </w:r>
      <w:r>
        <w:t xml:space="preserve"> </w:t>
      </w:r>
      <m:oMath>
        <m:r>
          <m:t>M</m:t>
        </m:r>
      </m:oMath>
      <w:r>
        <w:t xml:space="preserve"> </w:t>
      </w:r>
      <w:r>
        <w:t xml:space="preserve">inducing points, but introduce hyperparameters, approximation error, and implementation complexity. For resource-constrained space processors where deterministic worst-case execution time is required, these methods remain impractical.</w:t>
      </w:r>
    </w:p>
    <w:bookmarkEnd w:id="12"/>
    <w:bookmarkEnd w:id="13"/>
    <w:bookmarkStart w:id="14" w:name="problem-formulation"/>
    <w:p>
      <w:pPr>
        <w:pStyle w:val="Heading1"/>
      </w:pPr>
      <w:r>
        <w:rPr>
          <w:rStyle w:val="SectionNumber"/>
        </w:rPr>
        <w:t xml:space="preserve">3</w:t>
      </w:r>
      <w:r>
        <w:tab/>
      </w:r>
      <w:r>
        <w:t xml:space="preserve">Problem Formulation</w:t>
      </w:r>
    </w:p>
    <w:p>
      <w:pPr>
        <w:pStyle w:val="FirstParagraph"/>
      </w:pPr>
      <w:r>
        <w:t xml:space="preserve">Consider a survey zone</w:t>
      </w:r>
      <w:r>
        <w:t xml:space="preserve"> </w:t>
      </w:r>
      <m:oMath>
        <m:r>
          <m:rPr>
            <m:sty m:val="p"/>
          </m:rPr>
          <m:t>Ω</m:t>
        </m:r>
        <m:r>
          <m:rPr>
            <m:sty m:val="p"/>
          </m:rPr>
          <m:t>⊂</m:t>
        </m:r>
        <m:sSup>
          <m:e>
            <m:r>
              <m:rPr>
                <m:scr m:val="double-struck"/>
                <m:sty m:val="p"/>
              </m:rPr>
              <m:t>R</m:t>
            </m:r>
          </m:e>
          <m:sup>
            <m:r>
              <m:t>2</m:t>
            </m:r>
          </m:sup>
        </m:sSup>
      </m:oMath>
      <w:r>
        <w:t xml:space="preserve"> </w:t>
      </w:r>
      <w:r>
        <w:t xml:space="preserve">on the lunar surface, discretized into a grid</w:t>
      </w:r>
      <w:r>
        <w:t xml:space="preserve"> </w:t>
      </w:r>
      <m:oMath>
        <m:r>
          <m:rPr>
            <m:scr m:val="script"/>
            <m:sty m:val="p"/>
          </m:rPr>
          <m:t>G</m:t>
        </m:r>
      </m:oMath>
      <w:r>
        <w:t xml:space="preserve"> </w:t>
      </w:r>
      <w:r>
        <w:t xml:space="preserve">of</w:t>
      </w:r>
      <w:r>
        <w:t xml:space="preserve"> </w:t>
      </w:r>
      <m:oMath>
        <m:r>
          <m:t>W</m:t>
        </m:r>
        <m:r>
          <m:rPr>
            <m:sty m:val="p"/>
          </m:rPr>
          <m:t>×</m:t>
        </m:r>
        <m:r>
          <m:t>H</m:t>
        </m:r>
      </m:oMath>
      <w:r>
        <w:t xml:space="preserve"> </w:t>
      </w:r>
      <w:r>
        <w:t xml:space="preserve">cells at resolution</w:t>
      </w:r>
      <w:r>
        <w:t xml:space="preserve"> </w:t>
      </w:r>
      <m:oMath>
        <m:r>
          <m:t>δ</m:t>
        </m:r>
      </m:oMath>
      <w:r>
        <w:t xml:space="preserve"> </w:t>
      </w:r>
      <w:r>
        <w:t xml:space="preserve">meters per cell. Each cell</w:t>
      </w:r>
      <w:r>
        <w:t xml:space="preserve"> </w:t>
      </w:r>
      <m:oMath>
        <m:r>
          <m:rPr>
            <m:sty m:val="p"/>
          </m:rPr>
          <m:t>(</m:t>
        </m:r>
        <m:sSub>
          <m:e>
            <m:r>
              <m:t>g</m:t>
            </m:r>
          </m:e>
          <m:sub>
            <m:r>
              <m:t>x</m:t>
            </m:r>
          </m:sub>
        </m:sSub>
        <m:r>
          <m:rPr>
            <m:sty m:val="p"/>
          </m:rPr>
          <m:t>,</m:t>
        </m:r>
        <m:sSub>
          <m:e>
            <m:r>
              <m:t>g</m:t>
            </m:r>
          </m:e>
          <m:sub>
            <m:r>
              <m:t>y</m:t>
            </m:r>
          </m:sub>
        </m:sSub>
        <m:r>
          <m:rPr>
            <m:sty m:val="p"/>
          </m:rPr>
          <m:t>)</m:t>
        </m:r>
        <m:r>
          <m:rPr>
            <m:sty m:val="p"/>
          </m:rPr>
          <m:t>∈</m:t>
        </m:r>
        <m:r>
          <m:rPr>
            <m:scr m:val="script"/>
            <m:sty m:val="p"/>
          </m:rPr>
          <m:t>G</m:t>
        </m:r>
      </m:oMath>
      <w:r>
        <w:t xml:space="preserve"> </w:t>
      </w:r>
      <w:r>
        <w:t xml:space="preserve">has an associated true ice concentration</w:t>
      </w:r>
      <w:r>
        <w:t xml:space="preserve"> </w:t>
      </w:r>
      <m:oMath>
        <m:sSub>
          <m:e>
            <m:r>
              <m:t>θ</m:t>
            </m:r>
          </m:e>
          <m:sub>
            <m:sSub>
              <m:e>
                <m:r>
                  <m:t>g</m:t>
                </m:r>
              </m:e>
              <m:sub>
                <m:r>
                  <m:t>x</m:t>
                </m:r>
              </m:sub>
            </m:sSub>
            <m:r>
              <m:rPr>
                <m:sty m:val="p"/>
              </m:rPr>
              <m:t>,</m:t>
            </m:r>
            <m:sSub>
              <m:e>
                <m:r>
                  <m:t>g</m:t>
                </m:r>
              </m:e>
              <m:sub>
                <m:r>
                  <m:t>y</m:t>
                </m:r>
              </m:sub>
            </m:sSub>
          </m:sub>
        </m:sSub>
        <m:r>
          <m:rPr>
            <m:sty m:val="p"/>
          </m:rPr>
          <m:t>∈</m:t>
        </m:r>
        <m:sSub>
          <m:e>
            <m:r>
              <m:rPr>
                <m:scr m:val="double-struck"/>
                <m:sty m:val="p"/>
              </m:rPr>
              <m:t>R</m:t>
            </m:r>
          </m:e>
          <m:sub>
            <m:r>
              <m:rPr>
                <m:sty m:val="p"/>
              </m:rPr>
              <m:t>≥</m:t>
            </m:r>
            <m:r>
              <m:t>0</m:t>
            </m:r>
          </m:sub>
        </m:sSub>
      </m:oMath>
      <w:r>
        <w:t xml:space="preserve"> </w:t>
      </w:r>
      <w:r>
        <w:t xml:space="preserve">(in weight percent). The objective is to estimate</w:t>
      </w:r>
      <w:r>
        <w:t xml:space="preserve"> </w:t>
      </w:r>
      <m:oMath>
        <m:sSub>
          <m:e>
            <m:r>
              <m:t>θ</m:t>
            </m:r>
          </m:e>
          <m:sub>
            <m:sSub>
              <m:e>
                <m:r>
                  <m:t>g</m:t>
                </m:r>
              </m:e>
              <m:sub>
                <m:r>
                  <m:t>x</m:t>
                </m:r>
              </m:sub>
            </m:sSub>
            <m:r>
              <m:rPr>
                <m:sty m:val="p"/>
              </m:rPr>
              <m:t>,</m:t>
            </m:r>
            <m:sSub>
              <m:e>
                <m:r>
                  <m:t>g</m:t>
                </m:r>
              </m:e>
              <m:sub>
                <m:r>
                  <m:t>y</m:t>
                </m:r>
              </m:sub>
            </m:sSub>
          </m:sub>
        </m:sSub>
      </m:oMath>
      <w:r>
        <w:t xml:space="preserve"> </w:t>
      </w:r>
      <w:r>
        <w:t xml:space="preserve">for all cells from a sequence of noisy sensor readings.</w:t>
      </w:r>
    </w:p>
    <w:p>
      <w:pPr>
        <w:pStyle w:val="BodyText"/>
      </w:pPr>
      <w:r>
        <w:t xml:space="preserve">A neutron spectrometer mounted on a prospecting robot at world position</w:t>
      </w:r>
      <w:r>
        <w:t xml:space="preserve"> </w:t>
      </w:r>
      <m:oMath>
        <m:r>
          <m:rPr>
            <m:sty m:val="bi"/>
          </m:rPr>
          <m:t>p</m:t>
        </m:r>
        <m:r>
          <m:rPr>
            <m:sty m:val="p"/>
          </m:rPr>
          <m:t>=</m:t>
        </m:r>
        <m:r>
          <m:rPr>
            <m:sty m:val="p"/>
          </m:rPr>
          <m:t>(</m:t>
        </m:r>
        <m:r>
          <m:t>x</m:t>
        </m:r>
        <m:r>
          <m:rPr>
            <m:sty m:val="p"/>
          </m:rPr>
          <m:t>,</m:t>
        </m:r>
        <m:r>
          <m:t>y</m:t>
        </m:r>
        <m:r>
          <m:rPr>
            <m:sty m:val="p"/>
          </m:rPr>
          <m:t>)</m:t>
        </m:r>
      </m:oMath>
      <w:r>
        <w:t xml:space="preserve"> </w:t>
      </w:r>
      <w:r>
        <w:t xml:space="preserve">produces a reading</w:t>
      </w:r>
      <w:r>
        <w:t xml:space="preserve"> </w:t>
      </w:r>
      <m:oMath>
        <m:r>
          <m:t>z</m:t>
        </m:r>
      </m:oMath>
      <w:r>
        <w:t xml:space="preserve"> </w:t>
      </w:r>
      <w:r>
        <w:t xml:space="preserve">modeled as:</w:t>
      </w:r>
    </w:p>
    <w:p>
      <w:pPr>
        <w:pStyle w:val="BodyText"/>
      </w:pPr>
      <m:oMathPara>
        <m:oMathParaPr>
          <m:jc m:val="center"/>
        </m:oMathParaPr>
        <m:oMath>
          <m:r>
            <m:t>z</m:t>
          </m:r>
          <m:r>
            <m:rPr>
              <m:sty m:val="p"/>
            </m:rPr>
            <m:t>=</m:t>
          </m:r>
          <m:r>
            <m:t>θ</m:t>
          </m:r>
          <m:r>
            <m:rPr>
              <m:sty m:val="p"/>
            </m:rPr>
            <m:t>(</m:t>
          </m:r>
          <m:r>
            <m:rPr>
              <m:sty m:val="bi"/>
            </m:rPr>
            <m:t>p</m:t>
          </m:r>
          <m:r>
            <m:rPr>
              <m:sty m:val="p"/>
            </m:rPr>
            <m:t>)</m:t>
          </m:r>
          <m:r>
            <m:rPr>
              <m:sty m:val="p"/>
            </m:rPr>
            <m:t>+</m:t>
          </m:r>
          <m:r>
            <m:t>ϵ</m:t>
          </m:r>
          <m:r>
            <m:rPr>
              <m:sty m:val="p"/>
            </m:rPr>
            <m:t>,</m:t>
          </m:r>
          <m:r>
            <m:t> </m:t>
          </m:r>
          <m:r>
            <m:t>ϵ</m:t>
          </m:r>
          <m:r>
            <m:rPr>
              <m:sty m:val="p"/>
            </m:rPr>
            <m:t>∼</m:t>
          </m:r>
          <m:r>
            <m:rPr>
              <m:scr m:val="script"/>
              <m:sty m:val="p"/>
            </m:rPr>
            <m:t>N</m:t>
          </m:r>
          <m:r>
            <m:rPr>
              <m:sty m:val="p"/>
            </m:rPr>
            <m:t>(</m:t>
          </m:r>
          <m:r>
            <m:t>0</m:t>
          </m:r>
          <m:r>
            <m:rPr>
              <m:sty m:val="p"/>
            </m:rPr>
            <m:t>,</m:t>
          </m:r>
          <m:sSubSup>
            <m:e>
              <m:r>
                <m:t>σ</m:t>
              </m:r>
            </m:e>
            <m:sub>
              <m:r>
                <m:t>s</m:t>
              </m:r>
            </m:sub>
            <m:sup>
              <m:r>
                <m:t>2</m:t>
              </m:r>
            </m:sup>
          </m:sSubSup>
          <m:r>
            <m:rPr>
              <m:sty m:val="p"/>
            </m:rPr>
            <m:t>)</m:t>
          </m:r>
        </m:oMath>
      </m:oMathPara>
    </w:p>
    <w:p>
      <w:pPr>
        <w:pStyle w:val="FirstParagraph"/>
      </w:pPr>
      <w:r>
        <w:t xml:space="preserve">where</w:t>
      </w:r>
      <w:r>
        <w:t xml:space="preserve"> </w:t>
      </w:r>
      <m:oMath>
        <m:sSubSup>
          <m:e>
            <m:r>
              <m:t>σ</m:t>
            </m:r>
          </m:e>
          <m:sub>
            <m:r>
              <m:t>s</m:t>
            </m:r>
          </m:sub>
          <m:sup>
            <m:r>
              <m:t>2</m:t>
            </m:r>
          </m:sup>
        </m:sSubSup>
      </m:oMath>
      <w:r>
        <w:t xml:space="preserve"> </w:t>
      </w:r>
      <w:r>
        <w:t xml:space="preserve">is the sensor noise variance. The spectrometer integrates hydrogen flux over a spatial footprint surrounding the measurement position. The instrument does not measure a single point; rather, its sensitivity decreases with distance from the boresight axis, producing a spatially blurred observation.</w:t>
      </w:r>
    </w:p>
    <w:p>
      <w:pPr>
        <w:pStyle w:val="BodyText"/>
      </w:pPr>
      <w:r>
        <w:t xml:space="preserve">We seek a mapping</w:t>
      </w:r>
      <w:r>
        <w:t xml:space="preserve"> </w:t>
      </w:r>
      <m:oMath>
        <m:r>
          <m:rPr>
            <m:scr m:val="script"/>
            <m:sty m:val="p"/>
          </m:rPr>
          <m:t>M</m:t>
        </m:r>
        <m:r>
          <m:rPr>
            <m:sty m:val="p"/>
          </m:rPr>
          <m:t>:</m:t>
        </m:r>
        <m:r>
          <m:rPr>
            <m:scr m:val="script"/>
            <m:sty m:val="p"/>
          </m:rPr>
          <m:t>G</m:t>
        </m:r>
        <m:r>
          <m:rPr>
            <m:sty m:val="p"/>
          </m:rPr>
          <m:t>→</m:t>
        </m:r>
        <m:r>
          <m:rPr>
            <m:sty m:val="p"/>
          </m:rPr>
          <m:t>(</m:t>
        </m:r>
        <m:r>
          <m:t>μ</m:t>
        </m:r>
        <m:r>
          <m:rPr>
            <m:sty m:val="p"/>
          </m:rPr>
          <m:t>,</m:t>
        </m:r>
        <m:sSup>
          <m:e>
            <m:r>
              <m:t>σ</m:t>
            </m:r>
          </m:e>
          <m:sup>
            <m:r>
              <m:t>2</m:t>
            </m:r>
          </m:sup>
        </m:sSup>
        <m:r>
          <m:rPr>
            <m:sty m:val="p"/>
          </m:rPr>
          <m:t>)</m:t>
        </m:r>
      </m:oMath>
      <w:r>
        <w:t xml:space="preserve"> </w:t>
      </w:r>
      <w:r>
        <w:t xml:space="preserve">that assigns to each cell a posterior mean</w:t>
      </w:r>
      <w:r>
        <w:t xml:space="preserve"> </w:t>
      </w:r>
      <m:oMath>
        <m:sSub>
          <m:e>
            <m:r>
              <m:t>μ</m:t>
            </m:r>
          </m:e>
          <m:sub>
            <m:sSub>
              <m:e>
                <m:r>
                  <m:t>g</m:t>
                </m:r>
              </m:e>
              <m:sub>
                <m:r>
                  <m:t>x</m:t>
                </m:r>
              </m:sub>
            </m:sSub>
            <m:r>
              <m:rPr>
                <m:sty m:val="p"/>
              </m:rPr>
              <m:t>,</m:t>
            </m:r>
            <m:sSub>
              <m:e>
                <m:r>
                  <m:t>g</m:t>
                </m:r>
              </m:e>
              <m:sub>
                <m:r>
                  <m:t>y</m:t>
                </m:r>
              </m:sub>
            </m:sSub>
          </m:sub>
        </m:sSub>
      </m:oMath>
      <w:r>
        <w:t xml:space="preserve"> </w:t>
      </w:r>
      <w:r>
        <w:t xml:space="preserve">(best estimate of ice concentration) and posterior variance</w:t>
      </w:r>
      <w:r>
        <w:t xml:space="preserve"> </w:t>
      </w:r>
      <m:oMath>
        <m:sSubSup>
          <m:e>
            <m:r>
              <m:t>σ</m:t>
            </m:r>
          </m:e>
          <m:sub>
            <m:sSub>
              <m:e>
                <m:r>
                  <m:t>g</m:t>
                </m:r>
              </m:e>
              <m:sub>
                <m:r>
                  <m:t>x</m:t>
                </m:r>
              </m:sub>
            </m:sSub>
            <m:r>
              <m:rPr>
                <m:sty m:val="p"/>
              </m:rPr>
              <m:t>,</m:t>
            </m:r>
            <m:sSub>
              <m:e>
                <m:r>
                  <m:t>g</m:t>
                </m:r>
              </m:e>
              <m:sub>
                <m:r>
                  <m:t>y</m:t>
                </m:r>
              </m:sub>
            </m:sSub>
          </m:sub>
          <m:sup>
            <m:r>
              <m:t>2</m:t>
            </m:r>
          </m:sup>
        </m:sSubSup>
      </m:oMath>
      <w:r>
        <w:t xml:space="preserve"> </w:t>
      </w:r>
      <w:r>
        <w:t xml:space="preserve">(uncertainty in that estimate), such that:</w:t>
      </w:r>
    </w:p>
    <w:p>
      <w:pPr>
        <w:pStyle w:val="Compact"/>
        <w:numPr>
          <w:ilvl w:val="0"/>
          <w:numId w:val="1001"/>
        </w:numPr>
      </w:pPr>
      <w:r>
        <w:t xml:space="preserve">The posterior is updated in closed form upon each sensor reading.</w:t>
      </w:r>
    </w:p>
    <w:p>
      <w:pPr>
        <w:pStyle w:val="Compact"/>
        <w:numPr>
          <w:ilvl w:val="0"/>
          <w:numId w:val="1001"/>
        </w:numPr>
      </w:pPr>
      <w:r>
        <w:t xml:space="preserve">The posterior variance monotonically decreases with observations.</w:t>
      </w:r>
    </w:p>
    <w:p>
      <w:pPr>
        <w:pStyle w:val="Compact"/>
        <w:numPr>
          <w:ilvl w:val="0"/>
          <w:numId w:val="1001"/>
        </w:numPr>
      </w:pPr>
      <w:r>
        <w:t xml:space="preserve">The update cost per reading is</w:t>
      </w:r>
      <w:r>
        <w:t xml:space="preserve"> </w:t>
      </w:r>
      <m:oMath>
        <m:r>
          <m:t>O</m:t>
        </m:r>
        <m:r>
          <m:rPr>
            <m:sty m:val="p"/>
          </m:rPr>
          <m:t>(</m:t>
        </m:r>
        <m:r>
          <m:t>1</m:t>
        </m:r>
        <m:r>
          <m:rPr>
            <m:sty m:val="p"/>
          </m:rPr>
          <m:t>)</m:t>
        </m:r>
      </m:oMath>
      <w:r>
        <w:t xml:space="preserve"> </w:t>
      </w:r>
      <w:r>
        <w:t xml:space="preserve">with respect to the total number of prior readings.</w:t>
      </w:r>
    </w:p>
    <w:p>
      <w:pPr>
        <w:pStyle w:val="Compact"/>
        <w:numPr>
          <w:ilvl w:val="0"/>
          <w:numId w:val="1001"/>
        </w:numPr>
      </w:pPr>
      <w:r>
        <w:t xml:space="preserve">Spatial correlation is approximately captured through the sensor footprint model.</w:t>
      </w:r>
    </w:p>
    <w:p>
      <w:pPr>
        <w:pStyle w:val="FirstParagraph"/>
      </w:pPr>
      <w:r>
        <w:t xml:space="preserve">SELENE’s</w:t>
      </w:r>
      <w:r>
        <w:t xml:space="preserve"> </w:t>
      </w:r>
      <w:r>
        <w:rPr>
          <w:rStyle w:val="VerbatimChar"/>
        </w:rPr>
        <w:t xml:space="preserve">ResourceMap</w:t>
      </w:r>
      <w:r>
        <w:t xml:space="preserve"> </w:t>
      </w:r>
      <w:r>
        <w:t xml:space="preserve">instantiates this formulation with</w:t>
      </w:r>
      <w:r>
        <w:t xml:space="preserve"> </w:t>
      </w:r>
      <m:oMath>
        <m:r>
          <m:t>W</m:t>
        </m:r>
        <m:r>
          <m:rPr>
            <m:sty m:val="p"/>
          </m:rPr>
          <m:t>=</m:t>
        </m:r>
        <m:r>
          <m:t>H</m:t>
        </m:r>
        <m:r>
          <m:rPr>
            <m:sty m:val="p"/>
          </m:rPr>
          <m:t>=</m:t>
        </m:r>
        <m:r>
          <m:t>500</m:t>
        </m:r>
      </m:oMath>
      <w:r>
        <w:t xml:space="preserve"> </w:t>
      </w:r>
      <w:r>
        <w:t xml:space="preserve">cells,</w:t>
      </w:r>
      <w:r>
        <w:t xml:space="preserve"> </w:t>
      </w:r>
      <m:oMath>
        <m:r>
          <m:t>δ</m:t>
        </m:r>
        <m:r>
          <m:rPr>
            <m:sty m:val="p"/>
          </m:rPr>
          <m:t>=</m:t>
        </m:r>
        <m:r>
          <m:t>1.0</m:t>
        </m:r>
      </m:oMath>
      <w:r>
        <w:t xml:space="preserve"> </w:t>
      </w:r>
      <w:r>
        <w:t xml:space="preserve">m, and an origin at</w:t>
      </w:r>
      <w:r>
        <w:t xml:space="preserve"> </w:t>
      </w:r>
      <m:oMath>
        <m:r>
          <m:rPr>
            <m:sty m:val="p"/>
          </m:rPr>
          <m:t>(</m:t>
        </m:r>
        <m:r>
          <m:rPr>
            <m:sty m:val="p"/>
          </m:rPr>
          <m:t>−</m:t>
        </m:r>
        <m:r>
          <m:t>250</m:t>
        </m:r>
        <m:r>
          <m:rPr>
            <m:sty m:val="p"/>
          </m:rPr>
          <m:t>,</m:t>
        </m:r>
        <m:r>
          <m:rPr>
            <m:sty m:val="p"/>
          </m:rPr>
          <m:t>−</m:t>
        </m:r>
        <m:r>
          <m:t>250</m:t>
        </m:r>
        <m:r>
          <m:rPr>
            <m:sty m:val="p"/>
          </m:rPr>
          <m:t>)</m:t>
        </m:r>
      </m:oMath>
      <w:r>
        <w:t xml:space="preserve"> </w:t>
      </w:r>
      <w:r>
        <w:t xml:space="preserve">m, covering a</w:t>
      </w:r>
      <w:r>
        <w:t xml:space="preserve"> </w:t>
      </w:r>
      <m:oMath>
        <m:r>
          <m:t>500</m:t>
        </m:r>
        <m:r>
          <m:rPr>
            <m:sty m:val="p"/>
          </m:rPr>
          <m:t>×</m:t>
        </m:r>
        <m:r>
          <m:t>500</m:t>
        </m:r>
      </m:oMath>
      <w:r>
        <w:t xml:space="preserve"> </w:t>
      </w:r>
      <w:r>
        <w:t xml:space="preserve">m survey zone.</w:t>
      </w:r>
    </w:p>
    <w:bookmarkEnd w:id="14"/>
    <w:bookmarkStart w:id="24" w:name="conjugate-gaussian-update-derivation"/>
    <w:p>
      <w:pPr>
        <w:pStyle w:val="Heading1"/>
      </w:pPr>
      <w:r>
        <w:rPr>
          <w:rStyle w:val="SectionNumber"/>
        </w:rPr>
        <w:t xml:space="preserve">4</w:t>
      </w:r>
      <w:r>
        <w:tab/>
      </w:r>
      <w:r>
        <w:t xml:space="preserve">Conjugate Gaussian Update Derivation</w:t>
      </w:r>
    </w:p>
    <w:bookmarkStart w:id="15" w:name="prior-specification"/>
    <w:p>
      <w:pPr>
        <w:pStyle w:val="Heading2"/>
      </w:pPr>
      <w:r>
        <w:rPr>
          <w:rStyle w:val="SectionNumber"/>
        </w:rPr>
        <w:t xml:space="preserve">4.1</w:t>
      </w:r>
      <w:r>
        <w:tab/>
      </w:r>
      <w:r>
        <w:t xml:space="preserve">Prior Specification</w:t>
      </w:r>
    </w:p>
    <w:p>
      <w:pPr>
        <w:pStyle w:val="FirstParagraph"/>
      </w:pPr>
      <w:r>
        <w:t xml:space="preserve">For each cell</w:t>
      </w:r>
      <w:r>
        <w:t xml:space="preserve"> </w:t>
      </w:r>
      <m:oMath>
        <m:r>
          <m:rPr>
            <m:sty m:val="p"/>
          </m:rPr>
          <m:t>(</m:t>
        </m:r>
        <m:sSub>
          <m:e>
            <m:r>
              <m:t>g</m:t>
            </m:r>
          </m:e>
          <m:sub>
            <m:r>
              <m:t>x</m:t>
            </m:r>
          </m:sub>
        </m:sSub>
        <m:r>
          <m:rPr>
            <m:sty m:val="p"/>
          </m:rPr>
          <m:t>,</m:t>
        </m:r>
        <m:sSub>
          <m:e>
            <m:r>
              <m:t>g</m:t>
            </m:r>
          </m:e>
          <m:sub>
            <m:r>
              <m:t>y</m:t>
            </m:r>
          </m:sub>
        </m:sSub>
        <m:r>
          <m:rPr>
            <m:sty m:val="p"/>
          </m:rPr>
          <m:t>)</m:t>
        </m:r>
      </m:oMath>
      <w:r>
        <w:t xml:space="preserve">, we initialize an uninformative Gaussian prior:</w:t>
      </w:r>
    </w:p>
    <w:p>
      <w:pPr>
        <w:pStyle w:val="BodyText"/>
      </w:pPr>
      <m:oMathPara>
        <m:oMathParaPr>
          <m:jc m:val="center"/>
        </m:oMathParaPr>
        <m:oMath>
          <m:sSub>
            <m:e>
              <m:r>
                <m:t>θ</m:t>
              </m:r>
            </m:e>
            <m:sub>
              <m:sSub>
                <m:e>
                  <m:r>
                    <m:t>g</m:t>
                  </m:r>
                </m:e>
                <m:sub>
                  <m:r>
                    <m:t>x</m:t>
                  </m:r>
                </m:sub>
              </m:sSub>
              <m:r>
                <m:rPr>
                  <m:sty m:val="p"/>
                </m:rPr>
                <m:t>,</m:t>
              </m:r>
              <m:sSub>
                <m:e>
                  <m:r>
                    <m:t>g</m:t>
                  </m:r>
                </m:e>
                <m:sub>
                  <m:r>
                    <m:t>y</m:t>
                  </m:r>
                </m:sub>
              </m:sSub>
            </m:sub>
          </m:sSub>
          <m:r>
            <m:rPr>
              <m:sty m:val="p"/>
            </m:rPr>
            <m:t>∼</m:t>
          </m:r>
          <m:r>
            <m:rPr>
              <m:scr m:val="script"/>
              <m:sty m:val="p"/>
            </m:rPr>
            <m:t>N</m:t>
          </m:r>
          <m:r>
            <m:rPr>
              <m:sty m:val="p"/>
            </m:rPr>
            <m:t>(</m:t>
          </m:r>
          <m:sSub>
            <m:e>
              <m:r>
                <m:t>μ</m:t>
              </m:r>
            </m:e>
            <m:sub>
              <m:r>
                <m:t>0</m:t>
              </m:r>
            </m:sub>
          </m:sSub>
          <m:r>
            <m:rPr>
              <m:sty m:val="p"/>
            </m:rPr>
            <m:t>,</m:t>
          </m:r>
          <m:sSubSup>
            <m:e>
              <m:r>
                <m:t>σ</m:t>
              </m:r>
            </m:e>
            <m:sub>
              <m:r>
                <m:t>0</m:t>
              </m:r>
            </m:sub>
            <m:sup>
              <m:r>
                <m:t>2</m:t>
              </m:r>
            </m:sup>
          </m:sSubSup>
          <m:r>
            <m:rPr>
              <m:sty m:val="p"/>
            </m:rPr>
            <m:t>)</m:t>
          </m:r>
        </m:oMath>
      </m:oMathPara>
    </w:p>
    <w:p>
      <w:pPr>
        <w:pStyle w:val="FirstParagraph"/>
      </w:pPr>
      <w:r>
        <w:t xml:space="preserve">with</w:t>
      </w:r>
      <w:r>
        <w:t xml:space="preserve"> </w:t>
      </w:r>
      <m:oMath>
        <m:sSub>
          <m:e>
            <m:r>
              <m:t>μ</m:t>
            </m:r>
          </m:e>
          <m:sub>
            <m:r>
              <m:t>0</m:t>
            </m:r>
          </m:sub>
        </m:sSub>
        <m:r>
          <m:rPr>
            <m:sty m:val="p"/>
          </m:rPr>
          <m:t>=</m:t>
        </m:r>
        <m:r>
          <m:t>0</m:t>
        </m:r>
      </m:oMath>
      <w:r>
        <w:t xml:space="preserve"> </w:t>
      </w:r>
      <w:r>
        <w:t xml:space="preserve">(no ice assumed) and</w:t>
      </w:r>
      <w:r>
        <w:t xml:space="preserve"> </w:t>
      </w:r>
      <m:oMath>
        <m:sSubSup>
          <m:e>
            <m:r>
              <m:t>σ</m:t>
            </m:r>
          </m:e>
          <m:sub>
            <m:r>
              <m:t>0</m:t>
            </m:r>
          </m:sub>
          <m:sup>
            <m:r>
              <m:t>2</m:t>
            </m:r>
          </m:sup>
        </m:sSubSup>
        <m:r>
          <m:rPr>
            <m:sty m:val="p"/>
          </m:rPr>
          <m:t>=</m:t>
        </m:r>
        <m:r>
          <m:t>100</m:t>
        </m:r>
      </m:oMath>
      <w:r>
        <w:t xml:space="preserve"> </w:t>
      </w:r>
      <w:r>
        <w:t xml:space="preserve">(high uncertainty, reflecting the 0–10 wt% plausible range for lunar polar ice deposits). The prior variance of 100 ensures that even a single moderately precise observation will dominate the prior, as intended for an uninformative initialization.</w:t>
      </w:r>
    </w:p>
    <w:bookmarkEnd w:id="15"/>
    <w:bookmarkStart w:id="16" w:name="precision-formulation"/>
    <w:p>
      <w:pPr>
        <w:pStyle w:val="Heading2"/>
      </w:pPr>
      <w:r>
        <w:rPr>
          <w:rStyle w:val="SectionNumber"/>
        </w:rPr>
        <w:t xml:space="preserve">4.2</w:t>
      </w:r>
      <w:r>
        <w:tab/>
      </w:r>
      <w:r>
        <w:t xml:space="preserve">Precision Formulation</w:t>
      </w:r>
    </w:p>
    <w:p>
      <w:pPr>
        <w:pStyle w:val="FirstParagraph"/>
      </w:pPr>
      <w:r>
        <w:t xml:space="preserve">We work in the</w:t>
      </w:r>
      <w:r>
        <w:t xml:space="preserve"> </w:t>
      </w:r>
      <w:r>
        <w:rPr>
          <w:i/>
          <w:iCs/>
        </w:rPr>
        <w:t xml:space="preserve">precision</w:t>
      </w:r>
      <w:r>
        <w:t xml:space="preserve"> </w:t>
      </w:r>
      <w:r>
        <w:t xml:space="preserve">(inverse variance) parameterization, which simplifies the conjugate update to addition. Define:</w:t>
      </w:r>
    </w:p>
    <w:p>
      <w:pPr>
        <w:pStyle w:val="BodyText"/>
      </w:pPr>
      <m:oMathPara>
        <m:oMathParaPr>
          <m:jc m:val="center"/>
        </m:oMathParaPr>
        <m:oMath>
          <m:r>
            <m:t>τ</m:t>
          </m:r>
          <m:r>
            <m:rPr>
              <m:sty m:val="p"/>
            </m:rPr>
            <m:t>=</m:t>
          </m:r>
          <m:f>
            <m:fPr>
              <m:type m:val="bar"/>
            </m:fPr>
            <m:num>
              <m:r>
                <m:t>1</m:t>
              </m:r>
            </m:num>
            <m:den>
              <m:sSup>
                <m:e>
                  <m:r>
                    <m:t>σ</m:t>
                  </m:r>
                </m:e>
                <m:sup>
                  <m:r>
                    <m:t>2</m:t>
                  </m:r>
                </m:sup>
              </m:sSup>
            </m:den>
          </m:f>
        </m:oMath>
      </m:oMathPara>
    </w:p>
    <w:p>
      <w:pPr>
        <w:pStyle w:val="FirstParagraph"/>
      </w:pPr>
      <w:r>
        <w:t xml:space="preserve">where</w:t>
      </w:r>
      <w:r>
        <w:t xml:space="preserve"> </w:t>
      </w:r>
      <m:oMath>
        <m:r>
          <m:t>τ</m:t>
        </m:r>
      </m:oMath>
      <w:r>
        <w:t xml:space="preserve"> </w:t>
      </w:r>
      <w:r>
        <w:t xml:space="preserve">is the precision. The prior precision for each cell is</w:t>
      </w:r>
      <w:r>
        <w:t xml:space="preserve"> </w:t>
      </w:r>
      <m:oMath>
        <m:sSub>
          <m:e>
            <m:r>
              <m:t>τ</m:t>
            </m:r>
          </m:e>
          <m:sub>
            <m:r>
              <m:t>0</m:t>
            </m:r>
          </m:sub>
        </m:sSub>
        <m:r>
          <m:rPr>
            <m:sty m:val="p"/>
          </m:rPr>
          <m:t>=</m:t>
        </m:r>
        <m:r>
          <m:t>1</m:t>
        </m:r>
        <m:r>
          <m:rPr>
            <m:sty m:val="p"/>
          </m:rPr>
          <m:t>/</m:t>
        </m:r>
        <m:sSubSup>
          <m:e>
            <m:r>
              <m:t>σ</m:t>
            </m:r>
          </m:e>
          <m:sub>
            <m:r>
              <m:t>0</m:t>
            </m:r>
          </m:sub>
          <m:sup>
            <m:r>
              <m:t>2</m:t>
            </m:r>
          </m:sup>
        </m:sSubSup>
        <m:r>
          <m:rPr>
            <m:sty m:val="p"/>
          </m:rPr>
          <m:t>=</m:t>
        </m:r>
        <m:r>
          <m:t>0.01</m:t>
        </m:r>
      </m:oMath>
      <w:r>
        <w:t xml:space="preserve">.</w:t>
      </w:r>
    </w:p>
    <w:bookmarkEnd w:id="16"/>
    <w:bookmarkStart w:id="17" w:name="single-cell-update"/>
    <w:p>
      <w:pPr>
        <w:pStyle w:val="Heading2"/>
      </w:pPr>
      <w:r>
        <w:rPr>
          <w:rStyle w:val="SectionNumber"/>
        </w:rPr>
        <w:t xml:space="preserve">4.3</w:t>
      </w:r>
      <w:r>
        <w:tab/>
      </w:r>
      <w:r>
        <w:t xml:space="preserve">Single-Cell Update</w:t>
      </w:r>
    </w:p>
    <w:p>
      <w:pPr>
        <w:pStyle w:val="FirstParagraph"/>
      </w:pPr>
      <w:r>
        <w:t xml:space="preserve">Consider a sensor reading</w:t>
      </w:r>
      <w:r>
        <w:t xml:space="preserve"> </w:t>
      </w:r>
      <m:oMath>
        <m:r>
          <m:t>z</m:t>
        </m:r>
      </m:oMath>
      <w:r>
        <w:t xml:space="preserve"> </w:t>
      </w:r>
      <w:r>
        <w:t xml:space="preserve">at world position</w:t>
      </w:r>
      <w:r>
        <w:t xml:space="preserve"> </w:t>
      </w:r>
      <m:oMath>
        <m:r>
          <m:rPr>
            <m:sty m:val="bi"/>
          </m:rPr>
          <m:t>p</m:t>
        </m:r>
        <m:r>
          <m:rPr>
            <m:sty m:val="p"/>
          </m:rPr>
          <m:t>=</m:t>
        </m:r>
        <m:r>
          <m:rPr>
            <m:sty m:val="p"/>
          </m:rPr>
          <m:t>(</m:t>
        </m:r>
        <m:r>
          <m:t>x</m:t>
        </m:r>
        <m:r>
          <m:rPr>
            <m:sty m:val="p"/>
          </m:rPr>
          <m:t>,</m:t>
        </m:r>
        <m:r>
          <m:t>y</m:t>
        </m:r>
        <m:r>
          <m:rPr>
            <m:sty m:val="p"/>
          </m:rPr>
          <m:t>)</m:t>
        </m:r>
      </m:oMath>
      <w:r>
        <w:t xml:space="preserve"> </w:t>
      </w:r>
      <w:r>
        <w:t xml:space="preserve">with sensor noise variance</w:t>
      </w:r>
      <w:r>
        <w:t xml:space="preserve"> </w:t>
      </w:r>
      <m:oMath>
        <m:sSubSup>
          <m:e>
            <m:r>
              <m:t>σ</m:t>
            </m:r>
          </m:e>
          <m:sub>
            <m:r>
              <m:t>s</m:t>
            </m:r>
          </m:sub>
          <m:sup>
            <m:r>
              <m:t>2</m:t>
            </m:r>
          </m:sup>
        </m:sSubSup>
      </m:oMath>
      <w:r>
        <w:t xml:space="preserve">, and let</w:t>
      </w:r>
      <w:r>
        <w:t xml:space="preserve"> </w:t>
      </w:r>
      <m:oMath>
        <m:r>
          <m:rPr>
            <m:sty m:val="p"/>
          </m:rPr>
          <m:t>(</m:t>
        </m:r>
        <m:sSub>
          <m:e>
            <m:r>
              <m:t>g</m:t>
            </m:r>
          </m:e>
          <m:sub>
            <m:r>
              <m:t>x</m:t>
            </m:r>
          </m:sub>
        </m:sSub>
        <m:r>
          <m:rPr>
            <m:sty m:val="p"/>
          </m:rPr>
          <m:t>,</m:t>
        </m:r>
        <m:sSub>
          <m:e>
            <m:r>
              <m:t>g</m:t>
            </m:r>
          </m:e>
          <m:sub>
            <m:r>
              <m:t>y</m:t>
            </m:r>
          </m:sub>
        </m:sSub>
        <m:r>
          <m:rPr>
            <m:sty m:val="p"/>
          </m:rPr>
          <m:t>)</m:t>
        </m:r>
      </m:oMath>
      <w:r>
        <w:t xml:space="preserve"> </w:t>
      </w:r>
      <w:r>
        <w:t xml:space="preserve">be a grid cell at world position</w:t>
      </w:r>
      <w:r>
        <w:t xml:space="preserve"> </w:t>
      </w:r>
      <m:oMath>
        <m:r>
          <m:rPr>
            <m:sty m:val="bi"/>
          </m:rPr>
          <m:t>c</m:t>
        </m:r>
        <m:r>
          <m:rPr>
            <m:sty m:val="p"/>
          </m:rPr>
          <m:t>=</m:t>
        </m:r>
        <m:r>
          <m:rPr>
            <m:sty m:val="p"/>
          </m:rPr>
          <m:t>(</m:t>
        </m:r>
        <m:sSub>
          <m:e>
            <m:r>
              <m:t>c</m:t>
            </m:r>
          </m:e>
          <m:sub>
            <m:r>
              <m:t>x</m:t>
            </m:r>
          </m:sub>
        </m:sSub>
        <m:r>
          <m:rPr>
            <m:sty m:val="p"/>
          </m:rPr>
          <m:t>,</m:t>
        </m:r>
        <m:sSub>
          <m:e>
            <m:r>
              <m:t>c</m:t>
            </m:r>
          </m:e>
          <m:sub>
            <m:r>
              <m:t>y</m:t>
            </m:r>
          </m:sub>
        </m:sSub>
        <m:r>
          <m:rPr>
            <m:sty m:val="p"/>
          </m:rPr>
          <m:t>)</m:t>
        </m:r>
      </m:oMath>
      <w:r>
        <w:t xml:space="preserve"> </w:t>
      </w:r>
      <w:r>
        <w:t xml:space="preserve">with current posterior</w:t>
      </w:r>
      <w:r>
        <w:t xml:space="preserve"> </w:t>
      </w:r>
      <m:oMath>
        <m:r>
          <m:rPr>
            <m:scr m:val="script"/>
            <m:sty m:val="p"/>
          </m:rPr>
          <m:t>N</m:t>
        </m:r>
        <m:r>
          <m:rPr>
            <m:sty m:val="p"/>
          </m:rPr>
          <m:t>(</m:t>
        </m:r>
        <m:sSub>
          <m:e>
            <m:r>
              <m:t>μ</m:t>
            </m:r>
          </m:e>
          <m:sub>
            <m:r>
              <m:rPr>
                <m:nor/>
                <m:sty m:val="p"/>
              </m:rPr>
              <m:t>prior</m:t>
            </m:r>
          </m:sub>
        </m:sSub>
        <m:r>
          <m:rPr>
            <m:sty m:val="p"/>
          </m:rPr>
          <m:t>,</m:t>
        </m:r>
        <m:sSubSup>
          <m:e>
            <m:r>
              <m:t>σ</m:t>
            </m:r>
          </m:e>
          <m:sub>
            <m:r>
              <m:rPr>
                <m:nor/>
                <m:sty m:val="p"/>
              </m:rPr>
              <m:t>prior</m:t>
            </m:r>
          </m:sub>
          <m:sup>
            <m:r>
              <m:t>2</m:t>
            </m:r>
          </m:sup>
        </m:sSubSup>
        <m:r>
          <m:rPr>
            <m:sty m:val="p"/>
          </m:rPr>
          <m:t>)</m:t>
        </m:r>
      </m:oMath>
      <w:r>
        <w:t xml:space="preserve">. The observation precision at this cell is modulated by a distance-dependent weight</w:t>
      </w:r>
      <w:r>
        <w:t xml:space="preserve"> </w:t>
      </w:r>
      <m:oMath>
        <m:r>
          <m:t>w</m:t>
        </m:r>
      </m:oMath>
      <w:r>
        <w:t xml:space="preserve"> </w:t>
      </w:r>
      <w:r>
        <w:t xml:space="preserve">(derived in Section 5):</w:t>
      </w:r>
    </w:p>
    <w:p>
      <w:pPr>
        <w:pStyle w:val="BodyText"/>
      </w:pPr>
      <m:oMathPara>
        <m:oMathParaPr>
          <m:jc m:val="center"/>
        </m:oMathParaPr>
        <m:oMath>
          <m:sSub>
            <m:e>
              <m:r>
                <m:t>τ</m:t>
              </m:r>
            </m:e>
            <m:sub>
              <m:r>
                <m:rPr>
                  <m:nor/>
                  <m:sty m:val="p"/>
                </m:rPr>
                <m:t>obs</m:t>
              </m:r>
            </m:sub>
          </m:sSub>
          <m:r>
            <m:rPr>
              <m:sty m:val="p"/>
            </m:rPr>
            <m:t>=</m:t>
          </m:r>
          <m:f>
            <m:fPr>
              <m:type m:val="bar"/>
            </m:fPr>
            <m:num>
              <m:r>
                <m:t>w</m:t>
              </m:r>
            </m:num>
            <m:den>
              <m:sSubSup>
                <m:e>
                  <m:r>
                    <m:t>σ</m:t>
                  </m:r>
                </m:e>
                <m:sub>
                  <m:r>
                    <m:t>s</m:t>
                  </m:r>
                </m:sub>
                <m:sup>
                  <m:r>
                    <m:t>2</m:t>
                  </m:r>
                </m:sup>
              </m:sSubSup>
            </m:den>
          </m:f>
        </m:oMath>
      </m:oMathPara>
    </w:p>
    <w:p>
      <w:pPr>
        <w:pStyle w:val="FirstParagraph"/>
      </w:pPr>
      <w:r>
        <w:t xml:space="preserve">The Gaussian-Gaussian conjugate update proceeds as follows.</w:t>
      </w:r>
    </w:p>
    <w:p>
      <w:pPr>
        <w:pStyle w:val="BodyText"/>
      </w:pPr>
      <w:r>
        <w:rPr>
          <w:b/>
          <w:bCs/>
        </w:rPr>
        <w:t xml:space="preserve">Step 1: Compute posterior precision.</w:t>
      </w:r>
      <w:r>
        <w:t xml:space="preserve"> </w:t>
      </w:r>
      <w:r>
        <w:t xml:space="preserve">The precision of the product of two Gaussians is the sum of their precisions:</w:t>
      </w:r>
    </w:p>
    <w:p>
      <w:pPr>
        <w:pStyle w:val="BodyText"/>
      </w:pPr>
      <m:oMathPara>
        <m:oMathParaPr>
          <m:jc m:val="center"/>
        </m:oMathParaPr>
        <m:oMath>
          <m:sSub>
            <m:e>
              <m:r>
                <m:t>τ</m:t>
              </m:r>
            </m:e>
            <m:sub>
              <m:r>
                <m:rPr>
                  <m:nor/>
                  <m:sty m:val="p"/>
                </m:rPr>
                <m:t>post</m:t>
              </m:r>
            </m:sub>
          </m:sSub>
          <m:r>
            <m:rPr>
              <m:sty m:val="p"/>
            </m:rPr>
            <m:t>=</m:t>
          </m:r>
          <m:sSub>
            <m:e>
              <m:r>
                <m:t>τ</m:t>
              </m:r>
            </m:e>
            <m:sub>
              <m:r>
                <m:rPr>
                  <m:nor/>
                  <m:sty m:val="p"/>
                </m:rPr>
                <m:t>prior</m:t>
              </m:r>
            </m:sub>
          </m:sSub>
          <m:r>
            <m:rPr>
              <m:sty m:val="p"/>
            </m:rPr>
            <m:t>+</m:t>
          </m:r>
          <m:sSub>
            <m:e>
              <m:r>
                <m:t>τ</m:t>
              </m:r>
            </m:e>
            <m:sub>
              <m:r>
                <m:rPr>
                  <m:nor/>
                  <m:sty m:val="p"/>
                </m:rPr>
                <m:t>obs</m:t>
              </m:r>
            </m:sub>
          </m:sSub>
          <m:r>
            <m:rPr>
              <m:sty m:val="p"/>
            </m:rPr>
            <m:t>=</m:t>
          </m:r>
          <m:f>
            <m:fPr>
              <m:type m:val="bar"/>
            </m:fPr>
            <m:num>
              <m:r>
                <m:t>1</m:t>
              </m:r>
            </m:num>
            <m:den>
              <m:sSubSup>
                <m:e>
                  <m:r>
                    <m:t>σ</m:t>
                  </m:r>
                </m:e>
                <m:sub>
                  <m:r>
                    <m:rPr>
                      <m:nor/>
                      <m:sty m:val="p"/>
                    </m:rPr>
                    <m:t>prior</m:t>
                  </m:r>
                </m:sub>
                <m:sup>
                  <m:r>
                    <m:t>2</m:t>
                  </m:r>
                </m:sup>
              </m:sSubSup>
            </m:den>
          </m:f>
          <m:r>
            <m:rPr>
              <m:sty m:val="p"/>
            </m:rPr>
            <m:t>+</m:t>
          </m:r>
          <m:f>
            <m:fPr>
              <m:type m:val="bar"/>
            </m:fPr>
            <m:num>
              <m:r>
                <m:t>w</m:t>
              </m:r>
            </m:num>
            <m:den>
              <m:sSubSup>
                <m:e>
                  <m:r>
                    <m:t>σ</m:t>
                  </m:r>
                </m:e>
                <m:sub>
                  <m:r>
                    <m:t>s</m:t>
                  </m:r>
                </m:sub>
                <m:sup>
                  <m:r>
                    <m:t>2</m:t>
                  </m:r>
                </m:sup>
              </m:sSubSup>
            </m:den>
          </m:f>
        </m:oMath>
      </m:oMathPara>
    </w:p>
    <w:p>
      <w:pPr>
        <w:pStyle w:val="FirstParagraph"/>
      </w:pPr>
      <w:r>
        <w:rPr>
          <w:b/>
          <w:bCs/>
        </w:rPr>
        <w:t xml:space="preserve">Step 2: Compute posterior variance.</w:t>
      </w:r>
    </w:p>
    <w:p>
      <w:pPr>
        <w:pStyle w:val="BodyText"/>
      </w:pPr>
      <m:oMathPara>
        <m:oMathParaPr>
          <m:jc m:val="center"/>
        </m:oMathParaPr>
        <m:oMath>
          <m:sSubSup>
            <m:e>
              <m:r>
                <m:t>σ</m:t>
              </m:r>
            </m:e>
            <m:sub>
              <m:r>
                <m:rPr>
                  <m:nor/>
                  <m:sty m:val="p"/>
                </m:rPr>
                <m:t>post</m:t>
              </m:r>
            </m:sub>
            <m:sup>
              <m:r>
                <m:t>2</m:t>
              </m:r>
            </m:sup>
          </m:sSubSup>
          <m:r>
            <m:rPr>
              <m:sty m:val="p"/>
            </m:rPr>
            <m:t>=</m:t>
          </m:r>
          <m:f>
            <m:fPr>
              <m:type m:val="bar"/>
            </m:fPr>
            <m:num>
              <m:r>
                <m:t>1</m:t>
              </m:r>
            </m:num>
            <m:den>
              <m:sSub>
                <m:e>
                  <m:r>
                    <m:t>τ</m:t>
                  </m:r>
                </m:e>
                <m:sub>
                  <m:r>
                    <m:rPr>
                      <m:nor/>
                      <m:sty m:val="p"/>
                    </m:rPr>
                    <m:t>post</m:t>
                  </m:r>
                </m:sub>
              </m:sSub>
            </m:den>
          </m:f>
        </m:oMath>
      </m:oMathPara>
    </w:p>
    <w:p>
      <w:pPr>
        <w:pStyle w:val="FirstParagraph"/>
      </w:pPr>
      <w:r>
        <w:rPr>
          <w:b/>
          <w:bCs/>
        </w:rPr>
        <w:t xml:space="preserve">Step 3: Compute posterior mean.</w:t>
      </w:r>
      <w:r>
        <w:t xml:space="preserve"> </w:t>
      </w:r>
      <w:r>
        <w:t xml:space="preserve">The posterior mean is the precision-weighted average of the prior mean and the observation:</w:t>
      </w:r>
    </w:p>
    <w:p>
      <w:pPr>
        <w:pStyle w:val="BodyText"/>
      </w:pPr>
      <m:oMathPara>
        <m:oMathParaPr>
          <m:jc m:val="center"/>
        </m:oMathParaPr>
        <m:oMath>
          <m:sSub>
            <m:e>
              <m:r>
                <m:t>μ</m:t>
              </m:r>
            </m:e>
            <m:sub>
              <m:r>
                <m:rPr>
                  <m:nor/>
                  <m:sty m:val="p"/>
                </m:rPr>
                <m:t>post</m:t>
              </m:r>
            </m:sub>
          </m:sSub>
          <m:r>
            <m:rPr>
              <m:sty m:val="p"/>
            </m:rPr>
            <m:t>=</m:t>
          </m:r>
          <m:sSubSup>
            <m:e>
              <m:r>
                <m:t>σ</m:t>
              </m:r>
            </m:e>
            <m:sub>
              <m:r>
                <m:rPr>
                  <m:nor/>
                  <m:sty m:val="p"/>
                </m:rPr>
                <m:t>post</m:t>
              </m:r>
            </m:sub>
            <m:sup>
              <m:r>
                <m:t>2</m:t>
              </m:r>
            </m:sup>
          </m:sSubSup>
          <m:d>
            <m:dPr>
              <m:begChr m:val="("/>
              <m:sepChr m:val=""/>
              <m:endChr m:val=")"/>
              <m:grow/>
            </m:dPr>
            <m:e>
              <m:f>
                <m:fPr>
                  <m:type m:val="bar"/>
                </m:fPr>
                <m:num>
                  <m:sSub>
                    <m:e>
                      <m:r>
                        <m:t>μ</m:t>
                      </m:r>
                    </m:e>
                    <m:sub>
                      <m:r>
                        <m:rPr>
                          <m:nor/>
                          <m:sty m:val="p"/>
                        </m:rPr>
                        <m:t>prior</m:t>
                      </m:r>
                    </m:sub>
                  </m:sSub>
                </m:num>
                <m:den>
                  <m:sSubSup>
                    <m:e>
                      <m:r>
                        <m:t>σ</m:t>
                      </m:r>
                    </m:e>
                    <m:sub>
                      <m:r>
                        <m:rPr>
                          <m:nor/>
                          <m:sty m:val="p"/>
                        </m:rPr>
                        <m:t>prior</m:t>
                      </m:r>
                    </m:sub>
                    <m:sup>
                      <m:r>
                        <m:t>2</m:t>
                      </m:r>
                    </m:sup>
                  </m:sSubSup>
                </m:den>
              </m:f>
              <m:r>
                <m:rPr>
                  <m:sty m:val="p"/>
                </m:rPr>
                <m:t>+</m:t>
              </m:r>
              <m:f>
                <m:fPr>
                  <m:type m:val="bar"/>
                </m:fPr>
                <m:num>
                  <m:r>
                    <m:t>w</m:t>
                  </m:r>
                  <m:r>
                    <m:rPr>
                      <m:sty m:val="p"/>
                    </m:rPr>
                    <m:t>⋅</m:t>
                  </m:r>
                  <m:r>
                    <m:t>z</m:t>
                  </m:r>
                </m:num>
                <m:den>
                  <m:sSubSup>
                    <m:e>
                      <m:r>
                        <m:t>σ</m:t>
                      </m:r>
                    </m:e>
                    <m:sub>
                      <m:r>
                        <m:t>s</m:t>
                      </m:r>
                    </m:sub>
                    <m:sup>
                      <m:r>
                        <m:t>2</m:t>
                      </m:r>
                    </m:sup>
                  </m:sSubSup>
                </m:den>
              </m:f>
            </m:e>
          </m:d>
          <m:r>
            <m:rPr>
              <m:sty m:val="p"/>
            </m:rPr>
            <m:t>=</m:t>
          </m:r>
          <m:f>
            <m:fPr>
              <m:type m:val="bar"/>
            </m:fPr>
            <m:num>
              <m:sSub>
                <m:e>
                  <m:r>
                    <m:t>τ</m:t>
                  </m:r>
                </m:e>
                <m:sub>
                  <m:r>
                    <m:rPr>
                      <m:nor/>
                      <m:sty m:val="p"/>
                    </m:rPr>
                    <m:t>prior</m:t>
                  </m:r>
                </m:sub>
              </m:sSub>
              <m:r>
                <m:rPr>
                  <m:sty m:val="p"/>
                </m:rPr>
                <m:t>⋅</m:t>
              </m:r>
              <m:sSub>
                <m:e>
                  <m:r>
                    <m:t>μ</m:t>
                  </m:r>
                </m:e>
                <m:sub>
                  <m:r>
                    <m:rPr>
                      <m:nor/>
                      <m:sty m:val="p"/>
                    </m:rPr>
                    <m:t>prior</m:t>
                  </m:r>
                </m:sub>
              </m:sSub>
              <m:r>
                <m:rPr>
                  <m:sty m:val="p"/>
                </m:rPr>
                <m:t>+</m:t>
              </m:r>
              <m:sSub>
                <m:e>
                  <m:r>
                    <m:t>τ</m:t>
                  </m:r>
                </m:e>
                <m:sub>
                  <m:r>
                    <m:rPr>
                      <m:nor/>
                      <m:sty m:val="p"/>
                    </m:rPr>
                    <m:t>obs</m:t>
                  </m:r>
                </m:sub>
              </m:sSub>
              <m:r>
                <m:rPr>
                  <m:sty m:val="p"/>
                </m:rPr>
                <m:t>⋅</m:t>
              </m:r>
              <m:r>
                <m:t>z</m:t>
              </m:r>
            </m:num>
            <m:den>
              <m:sSub>
                <m:e>
                  <m:r>
                    <m:t>τ</m:t>
                  </m:r>
                </m:e>
                <m:sub>
                  <m:r>
                    <m:rPr>
                      <m:nor/>
                      <m:sty m:val="p"/>
                    </m:rPr>
                    <m:t>post</m:t>
                  </m:r>
                </m:sub>
              </m:sSub>
            </m:den>
          </m:f>
        </m:oMath>
      </m:oMathPara>
    </w:p>
    <w:p>
      <w:pPr>
        <w:pStyle w:val="FirstParagraph"/>
      </w:pPr>
      <w:r>
        <w:t xml:space="preserve">This is a standard result from conjugate analysis. We now verify its correctness by deriving it from first principles.</w:t>
      </w:r>
    </w:p>
    <w:bookmarkEnd w:id="17"/>
    <w:bookmarkStart w:id="18" w:name="derivation-from-bayes-theorem"/>
    <w:p>
      <w:pPr>
        <w:pStyle w:val="Heading2"/>
      </w:pPr>
      <w:r>
        <w:rPr>
          <w:rStyle w:val="SectionNumber"/>
        </w:rPr>
        <w:t xml:space="preserve">4.4</w:t>
      </w:r>
      <w:r>
        <w:tab/>
      </w:r>
      <w:r>
        <w:t xml:space="preserve">Derivation from Bayes’ Theorem</w:t>
      </w:r>
    </w:p>
    <w:p>
      <w:pPr>
        <w:pStyle w:val="FirstParagraph"/>
      </w:pPr>
      <w:r>
        <w:t xml:space="preserve">The prior at cell</w:t>
      </w:r>
      <w:r>
        <w:t xml:space="preserve"> </w:t>
      </w:r>
      <m:oMath>
        <m:r>
          <m:rPr>
            <m:sty m:val="p"/>
          </m:rPr>
          <m:t>(</m:t>
        </m:r>
        <m:sSub>
          <m:e>
            <m:r>
              <m:t>g</m:t>
            </m:r>
          </m:e>
          <m:sub>
            <m:r>
              <m:t>x</m:t>
            </m:r>
          </m:sub>
        </m:sSub>
        <m:r>
          <m:rPr>
            <m:sty m:val="p"/>
          </m:rPr>
          <m:t>,</m:t>
        </m:r>
        <m:sSub>
          <m:e>
            <m:r>
              <m:t>g</m:t>
            </m:r>
          </m:e>
          <m:sub>
            <m:r>
              <m:t>y</m:t>
            </m:r>
          </m:sub>
        </m:sSub>
        <m:r>
          <m:rPr>
            <m:sty m:val="p"/>
          </m:rPr>
          <m:t>)</m:t>
        </m:r>
      </m:oMath>
      <w:r>
        <w:t xml:space="preserve"> </w:t>
      </w:r>
      <w:r>
        <w:t xml:space="preserve">is:</w:t>
      </w:r>
    </w:p>
    <w:p>
      <w:pPr>
        <w:pStyle w:val="BodyText"/>
      </w:pPr>
      <m:oMathPara>
        <m:oMathParaPr>
          <m:jc m:val="center"/>
        </m:oMathParaPr>
        <m:oMath>
          <m:r>
            <m:t>p</m:t>
          </m:r>
          <m:r>
            <m:rPr>
              <m:sty m:val="p"/>
            </m:rPr>
            <m:t>(</m:t>
          </m:r>
          <m:r>
            <m:t>θ</m:t>
          </m:r>
          <m:r>
            <m:rPr>
              <m:sty m:val="p"/>
            </m:rPr>
            <m:t>)</m:t>
          </m:r>
          <m:r>
            <m:rPr>
              <m:sty m:val="p"/>
            </m:rPr>
            <m:t>=</m:t>
          </m:r>
          <m:r>
            <m:rPr>
              <m:scr m:val="script"/>
              <m:sty m:val="p"/>
            </m:rPr>
            <m:t>N</m:t>
          </m:r>
          <m:r>
            <m:rPr>
              <m:sty m:val="p"/>
            </m:rPr>
            <m:t>(</m:t>
          </m:r>
          <m:r>
            <m:t>θ</m:t>
          </m:r>
          <m:r>
            <m:rPr>
              <m:sty m:val="p"/>
            </m:rPr>
            <m:t>∣</m:t>
          </m:r>
          <m:sSub>
            <m:e>
              <m:r>
                <m:t>μ</m:t>
              </m:r>
            </m:e>
            <m:sub>
              <m:r>
                <m:rPr>
                  <m:nor/>
                  <m:sty m:val="p"/>
                </m:rPr>
                <m:t>prior</m:t>
              </m:r>
            </m:sub>
          </m:sSub>
          <m:r>
            <m:rPr>
              <m:sty m:val="p"/>
            </m:rPr>
            <m:t>,</m:t>
          </m:r>
          <m:sSubSup>
            <m:e>
              <m:r>
                <m:t>σ</m:t>
              </m:r>
            </m:e>
            <m:sub>
              <m:r>
                <m:rPr>
                  <m:nor/>
                  <m:sty m:val="p"/>
                </m:rPr>
                <m:t>prior</m:t>
              </m:r>
            </m:sub>
            <m:sup>
              <m:r>
                <m:t>2</m:t>
              </m:r>
            </m:sup>
          </m:sSubSup>
          <m:r>
            <m:rPr>
              <m:sty m:val="p"/>
            </m:rPr>
            <m:t>)</m:t>
          </m:r>
          <m:r>
            <m:rPr>
              <m:sty m:val="p"/>
            </m:rPr>
            <m:t>∝</m:t>
          </m:r>
          <m:r>
            <m:rPr>
              <m:sty m:val="p"/>
            </m:rPr>
            <m:t>exp</m:t>
          </m:r>
          <m:r>
            <m:t>​</m:t>
          </m:r>
          <m:d>
            <m:dPr>
              <m:begChr m:val="("/>
              <m:sepChr m:val=""/>
              <m:endChr m:val=")"/>
              <m:grow/>
            </m:dPr>
            <m:e>
              <m:r>
                <m:rPr>
                  <m:sty m:val="p"/>
                </m:rPr>
                <m:t>−</m:t>
              </m:r>
              <m:f>
                <m:fPr>
                  <m:type m:val="bar"/>
                </m:fPr>
                <m:num>
                  <m:r>
                    <m:rPr>
                      <m:sty m:val="p"/>
                    </m:rPr>
                    <m:t>(</m:t>
                  </m:r>
                  <m:r>
                    <m:t>θ</m:t>
                  </m:r>
                  <m:r>
                    <m:rPr>
                      <m:sty m:val="p"/>
                    </m:rPr>
                    <m:t>−</m:t>
                  </m:r>
                  <m:sSub>
                    <m:e>
                      <m:r>
                        <m:t>μ</m:t>
                      </m:r>
                    </m:e>
                    <m:sub>
                      <m:r>
                        <m:rPr>
                          <m:nor/>
                          <m:sty m:val="p"/>
                        </m:rPr>
                        <m:t>prior</m:t>
                      </m:r>
                    </m:sub>
                  </m:sSub>
                  <m:sSup>
                    <m:e>
                      <m:r>
                        <m:rPr>
                          <m:sty m:val="p"/>
                        </m:rPr>
                        <m:t>)</m:t>
                      </m:r>
                    </m:e>
                    <m:sup>
                      <m:r>
                        <m:t>2</m:t>
                      </m:r>
                    </m:sup>
                  </m:sSup>
                </m:num>
                <m:den>
                  <m:r>
                    <m:t>2</m:t>
                  </m:r>
                  <m:sSubSup>
                    <m:e>
                      <m:r>
                        <m:t>σ</m:t>
                      </m:r>
                    </m:e>
                    <m:sub>
                      <m:r>
                        <m:rPr>
                          <m:nor/>
                          <m:sty m:val="p"/>
                        </m:rPr>
                        <m:t>prior</m:t>
                      </m:r>
                    </m:sub>
                    <m:sup>
                      <m:r>
                        <m:t>2</m:t>
                      </m:r>
                    </m:sup>
                  </m:sSubSup>
                </m:den>
              </m:f>
            </m:e>
          </m:d>
        </m:oMath>
      </m:oMathPara>
    </w:p>
    <w:p>
      <w:pPr>
        <w:pStyle w:val="FirstParagraph"/>
      </w:pPr>
      <w:r>
        <w:t xml:space="preserve">The weighted likelihood for observation</w:t>
      </w:r>
      <w:r>
        <w:t xml:space="preserve"> </w:t>
      </w:r>
      <m:oMath>
        <m:r>
          <m:t>z</m:t>
        </m:r>
      </m:oMath>
      <w:r>
        <w:t xml:space="preserve"> </w:t>
      </w:r>
      <w:r>
        <w:t xml:space="preserve">with effective variance</w:t>
      </w:r>
      <w:r>
        <w:t xml:space="preserve"> </w:t>
      </w:r>
      <m:oMath>
        <m:sSubSup>
          <m:e>
            <m:r>
              <m:t>σ</m:t>
            </m:r>
          </m:e>
          <m:sub>
            <m:r>
              <m:t>s</m:t>
            </m:r>
          </m:sub>
          <m:sup>
            <m:r>
              <m:t>2</m:t>
            </m:r>
          </m:sup>
        </m:sSubSup>
        <m:r>
          <m:rPr>
            <m:sty m:val="p"/>
          </m:rPr>
          <m:t>/</m:t>
        </m:r>
        <m:r>
          <m:t>w</m:t>
        </m:r>
      </m:oMath>
      <w:r>
        <w:t xml:space="preserve"> </w:t>
      </w:r>
      <w:r>
        <w:t xml:space="preserve">is:</w:t>
      </w:r>
    </w:p>
    <w:p>
      <w:pPr>
        <w:pStyle w:val="BodyText"/>
      </w:pPr>
      <m:oMathPara>
        <m:oMathParaPr>
          <m:jc m:val="center"/>
        </m:oMathParaPr>
        <m:oMath>
          <m:r>
            <m:t>p</m:t>
          </m:r>
          <m:r>
            <m:rPr>
              <m:sty m:val="p"/>
            </m:rPr>
            <m:t>(</m:t>
          </m:r>
          <m:r>
            <m:t>z</m:t>
          </m:r>
          <m:r>
            <m:rPr>
              <m:sty m:val="p"/>
            </m:rPr>
            <m:t>∣</m:t>
          </m:r>
          <m:r>
            <m:t>θ</m:t>
          </m:r>
          <m:r>
            <m:rPr>
              <m:sty m:val="p"/>
            </m:rPr>
            <m:t>)</m:t>
          </m:r>
          <m:r>
            <m:rPr>
              <m:sty m:val="p"/>
            </m:rPr>
            <m:t>∝</m:t>
          </m:r>
          <m:r>
            <m:rPr>
              <m:sty m:val="p"/>
            </m:rPr>
            <m:t>exp</m:t>
          </m:r>
          <m:r>
            <m:t>​</m:t>
          </m:r>
          <m:d>
            <m:dPr>
              <m:begChr m:val="("/>
              <m:sepChr m:val=""/>
              <m:endChr m:val=")"/>
              <m:grow/>
            </m:dPr>
            <m:e>
              <m:r>
                <m:rPr>
                  <m:sty m:val="p"/>
                </m:rPr>
                <m:t>−</m:t>
              </m:r>
              <m:f>
                <m:fPr>
                  <m:type m:val="bar"/>
                </m:fPr>
                <m:num>
                  <m:r>
                    <m:t>w</m:t>
                  </m:r>
                  <m:r>
                    <m:t> </m:t>
                  </m:r>
                  <m:r>
                    <m:rPr>
                      <m:sty m:val="p"/>
                    </m:rPr>
                    <m:t>(</m:t>
                  </m:r>
                  <m:r>
                    <m:t>z</m:t>
                  </m:r>
                  <m:r>
                    <m:rPr>
                      <m:sty m:val="p"/>
                    </m:rPr>
                    <m:t>−</m:t>
                  </m:r>
                  <m:r>
                    <m:t>θ</m:t>
                  </m:r>
                  <m:sSup>
                    <m:e>
                      <m:r>
                        <m:rPr>
                          <m:sty m:val="p"/>
                        </m:rPr>
                        <m:t>)</m:t>
                      </m:r>
                    </m:e>
                    <m:sup>
                      <m:r>
                        <m:t>2</m:t>
                      </m:r>
                    </m:sup>
                  </m:sSup>
                </m:num>
                <m:den>
                  <m:r>
                    <m:t>2</m:t>
                  </m:r>
                  <m:sSubSup>
                    <m:e>
                      <m:r>
                        <m:t>σ</m:t>
                      </m:r>
                    </m:e>
                    <m:sub>
                      <m:r>
                        <m:t>s</m:t>
                      </m:r>
                    </m:sub>
                    <m:sup>
                      <m:r>
                        <m:t>2</m:t>
                      </m:r>
                    </m:sup>
                  </m:sSubSup>
                </m:den>
              </m:f>
            </m:e>
          </m:d>
        </m:oMath>
      </m:oMathPara>
    </w:p>
    <w:p>
      <w:pPr>
        <w:pStyle w:val="FirstParagraph"/>
      </w:pPr>
      <w:r>
        <w:t xml:space="preserve">The posterior is proportional to the product:</w:t>
      </w:r>
    </w:p>
    <w:p>
      <w:pPr>
        <w:pStyle w:val="BodyText"/>
      </w:pPr>
      <m:oMathPara>
        <m:oMathParaPr>
          <m:jc m:val="center"/>
        </m:oMathParaPr>
        <m:oMath>
          <m:r>
            <m:t>p</m:t>
          </m:r>
          <m:r>
            <m:rPr>
              <m:sty m:val="p"/>
            </m:rPr>
            <m:t>(</m:t>
          </m:r>
          <m:r>
            <m:t>θ</m:t>
          </m:r>
          <m:r>
            <m:rPr>
              <m:sty m:val="p"/>
            </m:rPr>
            <m:t>∣</m:t>
          </m:r>
          <m:r>
            <m:t>z</m:t>
          </m:r>
          <m:r>
            <m:rPr>
              <m:sty m:val="p"/>
            </m:rPr>
            <m:t>)</m:t>
          </m:r>
          <m:r>
            <m:rPr>
              <m:sty m:val="p"/>
            </m:rPr>
            <m:t>∝</m:t>
          </m:r>
          <m:r>
            <m:rPr>
              <m:sty m:val="p"/>
            </m:rPr>
            <m:t>exp</m:t>
          </m:r>
          <m:r>
            <m:t>​</m:t>
          </m:r>
          <m:d>
            <m:dPr>
              <m:begChr m:val="("/>
              <m:sepChr m:val=""/>
              <m:endChr m:val=")"/>
              <m:grow/>
            </m:dPr>
            <m:e>
              <m:r>
                <m:rPr>
                  <m:sty m:val="p"/>
                </m:rPr>
                <m:t>−</m:t>
              </m:r>
              <m:f>
                <m:fPr>
                  <m:type m:val="bar"/>
                </m:fPr>
                <m:num>
                  <m:r>
                    <m:rPr>
                      <m:sty m:val="p"/>
                    </m:rPr>
                    <m:t>(</m:t>
                  </m:r>
                  <m:r>
                    <m:t>θ</m:t>
                  </m:r>
                  <m:r>
                    <m:rPr>
                      <m:sty m:val="p"/>
                    </m:rPr>
                    <m:t>−</m:t>
                  </m:r>
                  <m:sSub>
                    <m:e>
                      <m:r>
                        <m:t>μ</m:t>
                      </m:r>
                    </m:e>
                    <m:sub>
                      <m:r>
                        <m:rPr>
                          <m:nor/>
                          <m:sty m:val="p"/>
                        </m:rPr>
                        <m:t>prior</m:t>
                      </m:r>
                    </m:sub>
                  </m:sSub>
                  <m:sSup>
                    <m:e>
                      <m:r>
                        <m:rPr>
                          <m:sty m:val="p"/>
                        </m:rPr>
                        <m:t>)</m:t>
                      </m:r>
                    </m:e>
                    <m:sup>
                      <m:r>
                        <m:t>2</m:t>
                      </m:r>
                    </m:sup>
                  </m:sSup>
                </m:num>
                <m:den>
                  <m:r>
                    <m:t>2</m:t>
                  </m:r>
                  <m:sSubSup>
                    <m:e>
                      <m:r>
                        <m:t>σ</m:t>
                      </m:r>
                    </m:e>
                    <m:sub>
                      <m:r>
                        <m:rPr>
                          <m:nor/>
                          <m:sty m:val="p"/>
                        </m:rPr>
                        <m:t>prior</m:t>
                      </m:r>
                    </m:sub>
                    <m:sup>
                      <m:r>
                        <m:t>2</m:t>
                      </m:r>
                    </m:sup>
                  </m:sSubSup>
                </m:den>
              </m:f>
              <m:r>
                <m:rPr>
                  <m:sty m:val="p"/>
                </m:rPr>
                <m:t>−</m:t>
              </m:r>
              <m:f>
                <m:fPr>
                  <m:type m:val="bar"/>
                </m:fPr>
                <m:num>
                  <m:r>
                    <m:t>w</m:t>
                  </m:r>
                  <m:r>
                    <m:rPr>
                      <m:sty m:val="p"/>
                    </m:rPr>
                    <m:t>(</m:t>
                  </m:r>
                  <m:r>
                    <m:t>z</m:t>
                  </m:r>
                  <m:r>
                    <m:rPr>
                      <m:sty m:val="p"/>
                    </m:rPr>
                    <m:t>−</m:t>
                  </m:r>
                  <m:r>
                    <m:t>θ</m:t>
                  </m:r>
                  <m:sSup>
                    <m:e>
                      <m:r>
                        <m:rPr>
                          <m:sty m:val="p"/>
                        </m:rPr>
                        <m:t>)</m:t>
                      </m:r>
                    </m:e>
                    <m:sup>
                      <m:r>
                        <m:t>2</m:t>
                      </m:r>
                    </m:sup>
                  </m:sSup>
                </m:num>
                <m:den>
                  <m:r>
                    <m:t>2</m:t>
                  </m:r>
                  <m:sSubSup>
                    <m:e>
                      <m:r>
                        <m:t>σ</m:t>
                      </m:r>
                    </m:e>
                    <m:sub>
                      <m:r>
                        <m:t>s</m:t>
                      </m:r>
                    </m:sub>
                    <m:sup>
                      <m:r>
                        <m:t>2</m:t>
                      </m:r>
                    </m:sup>
                  </m:sSubSup>
                </m:den>
              </m:f>
            </m:e>
          </m:d>
        </m:oMath>
      </m:oMathPara>
    </w:p>
    <w:p>
      <w:pPr>
        <w:pStyle w:val="FirstParagraph"/>
      </w:pPr>
      <w:r>
        <w:t xml:space="preserve">Expanding the exponent:</w:t>
      </w:r>
    </w:p>
    <w:p>
      <w:pPr>
        <w:pStyle w:val="BodyText"/>
      </w:pPr>
      <m:oMathPara>
        <m:oMathParaPr>
          <m:jc m:val="center"/>
        </m:oMathParaPr>
        <m:oMath>
          <m:r>
            <m:rPr>
              <m:sty m:val="p"/>
            </m:rPr>
            <m:t>−</m:t>
          </m:r>
          <m:f>
            <m:fPr>
              <m:type m:val="bar"/>
            </m:fPr>
            <m:num>
              <m:r>
                <m:t>1</m:t>
              </m:r>
            </m:num>
            <m:den>
              <m:r>
                <m:t>2</m:t>
              </m:r>
            </m:den>
          </m:f>
          <m:d>
            <m:dPr>
              <m:begChr m:val="["/>
              <m:sepChr m:val=""/>
              <m:endChr m:val="]"/>
              <m:grow/>
            </m:dPr>
            <m:e>
              <m:f>
                <m:fPr>
                  <m:type m:val="bar"/>
                </m:fPr>
                <m:num>
                  <m:sSup>
                    <m:e>
                      <m:r>
                        <m:t>θ</m:t>
                      </m:r>
                    </m:e>
                    <m:sup>
                      <m:r>
                        <m:t>2</m:t>
                      </m:r>
                    </m:sup>
                  </m:sSup>
                  <m:r>
                    <m:rPr>
                      <m:sty m:val="p"/>
                    </m:rPr>
                    <m:t>−</m:t>
                  </m:r>
                  <m:r>
                    <m:t>2</m:t>
                  </m:r>
                  <m:r>
                    <m:t>θ</m:t>
                  </m:r>
                  <m:sSub>
                    <m:e>
                      <m:r>
                        <m:t>μ</m:t>
                      </m:r>
                    </m:e>
                    <m:sub>
                      <m:r>
                        <m:rPr>
                          <m:nor/>
                          <m:sty m:val="p"/>
                        </m:rPr>
                        <m:t>prior</m:t>
                      </m:r>
                    </m:sub>
                  </m:sSub>
                  <m:r>
                    <m:rPr>
                      <m:sty m:val="p"/>
                    </m:rPr>
                    <m:t>+</m:t>
                  </m:r>
                  <m:sSubSup>
                    <m:e>
                      <m:r>
                        <m:t>μ</m:t>
                      </m:r>
                    </m:e>
                    <m:sub>
                      <m:r>
                        <m:rPr>
                          <m:nor/>
                          <m:sty m:val="p"/>
                        </m:rPr>
                        <m:t>prior</m:t>
                      </m:r>
                    </m:sub>
                    <m:sup>
                      <m:r>
                        <m:t>2</m:t>
                      </m:r>
                    </m:sup>
                  </m:sSubSup>
                </m:num>
                <m:den>
                  <m:sSubSup>
                    <m:e>
                      <m:r>
                        <m:t>σ</m:t>
                      </m:r>
                    </m:e>
                    <m:sub>
                      <m:r>
                        <m:rPr>
                          <m:nor/>
                          <m:sty m:val="p"/>
                        </m:rPr>
                        <m:t>prior</m:t>
                      </m:r>
                    </m:sub>
                    <m:sup>
                      <m:r>
                        <m:t>2</m:t>
                      </m:r>
                    </m:sup>
                  </m:sSubSup>
                </m:den>
              </m:f>
              <m:r>
                <m:rPr>
                  <m:sty m:val="p"/>
                </m:rPr>
                <m:t>+</m:t>
              </m:r>
              <m:f>
                <m:fPr>
                  <m:type m:val="bar"/>
                </m:fPr>
                <m:num>
                  <m:r>
                    <m:t>w</m:t>
                  </m:r>
                  <m:r>
                    <m:rPr>
                      <m:sty m:val="p"/>
                    </m:rPr>
                    <m:t>(</m:t>
                  </m:r>
                  <m:sSup>
                    <m:e>
                      <m:r>
                        <m:t>θ</m:t>
                      </m:r>
                    </m:e>
                    <m:sup>
                      <m:r>
                        <m:t>2</m:t>
                      </m:r>
                    </m:sup>
                  </m:sSup>
                  <m:r>
                    <m:rPr>
                      <m:sty m:val="p"/>
                    </m:rPr>
                    <m:t>−</m:t>
                  </m:r>
                  <m:r>
                    <m:t>2</m:t>
                  </m:r>
                  <m:r>
                    <m:t>θ</m:t>
                  </m:r>
                  <m:r>
                    <m:t>z</m:t>
                  </m:r>
                  <m:r>
                    <m:rPr>
                      <m:sty m:val="p"/>
                    </m:rPr>
                    <m:t>+</m:t>
                  </m:r>
                  <m:sSup>
                    <m:e>
                      <m:r>
                        <m:t>z</m:t>
                      </m:r>
                    </m:e>
                    <m:sup>
                      <m:r>
                        <m:t>2</m:t>
                      </m:r>
                    </m:sup>
                  </m:sSup>
                  <m:r>
                    <m:rPr>
                      <m:sty m:val="p"/>
                    </m:rPr>
                    <m:t>)</m:t>
                  </m:r>
                </m:num>
                <m:den>
                  <m:sSubSup>
                    <m:e>
                      <m:r>
                        <m:t>σ</m:t>
                      </m:r>
                    </m:e>
                    <m:sub>
                      <m:r>
                        <m:t>s</m:t>
                      </m:r>
                    </m:sub>
                    <m:sup>
                      <m:r>
                        <m:t>2</m:t>
                      </m:r>
                    </m:sup>
                  </m:sSubSup>
                </m:den>
              </m:f>
            </m:e>
          </m:d>
        </m:oMath>
      </m:oMathPara>
    </w:p>
    <w:p>
      <w:pPr>
        <w:pStyle w:val="FirstParagraph"/>
      </w:pPr>
      <w:r>
        <w:t xml:space="preserve">Collecting terms in</w:t>
      </w:r>
      <w:r>
        <w:t xml:space="preserve"> </w:t>
      </w:r>
      <m:oMath>
        <m:r>
          <m:t>θ</m:t>
        </m:r>
      </m:oMath>
      <w:r>
        <w:t xml:space="preserve">:</w:t>
      </w:r>
    </w:p>
    <w:p>
      <w:pPr>
        <w:pStyle w:val="BodyText"/>
      </w:pPr>
      <m:oMathPara>
        <m:oMathParaPr>
          <m:jc m:val="center"/>
        </m:oMathParaPr>
        <m:oMath>
          <m:r>
            <m:rPr>
              <m:sty m:val="p"/>
            </m:rPr>
            <m:t>=</m:t>
          </m:r>
          <m:r>
            <m:rPr>
              <m:sty m:val="p"/>
            </m:rPr>
            <m:t>−</m:t>
          </m:r>
          <m:f>
            <m:fPr>
              <m:type m:val="bar"/>
            </m:fPr>
            <m:num>
              <m:r>
                <m:t>1</m:t>
              </m:r>
            </m:num>
            <m:den>
              <m:r>
                <m:t>2</m:t>
              </m:r>
            </m:den>
          </m:f>
          <m:d>
            <m:dPr>
              <m:begChr m:val="["/>
              <m:sepChr m:val=""/>
              <m:endChr m:val="]"/>
              <m:grow/>
            </m:dPr>
            <m:e>
              <m:sSup>
                <m:e>
                  <m:r>
                    <m:t>θ</m:t>
                  </m:r>
                </m:e>
                <m:sup>
                  <m:r>
                    <m:t>2</m:t>
                  </m:r>
                </m:sup>
              </m:sSup>
              <m:limLow>
                <m:e>
                  <m:limLow>
                    <m:e>
                      <m:d>
                        <m:dPr>
                          <m:begChr m:val="("/>
                          <m:sepChr m:val=""/>
                          <m:endChr m:val=")"/>
                          <m:grow/>
                        </m:dPr>
                        <m:e>
                          <m:f>
                            <m:fPr>
                              <m:type m:val="bar"/>
                            </m:fPr>
                            <m:num>
                              <m:r>
                                <m:t>1</m:t>
                              </m:r>
                            </m:num>
                            <m:den>
                              <m:sSubSup>
                                <m:e>
                                  <m:r>
                                    <m:t>σ</m:t>
                                  </m:r>
                                </m:e>
                                <m:sub>
                                  <m:r>
                                    <m:rPr>
                                      <m:nor/>
                                      <m:sty m:val="p"/>
                                    </m:rPr>
                                    <m:t>prior</m:t>
                                  </m:r>
                                </m:sub>
                                <m:sup>
                                  <m:r>
                                    <m:t>2</m:t>
                                  </m:r>
                                </m:sup>
                              </m:sSubSup>
                            </m:den>
                          </m:f>
                          <m:r>
                            <m:rPr>
                              <m:sty m:val="p"/>
                            </m:rPr>
                            <m:t>+</m:t>
                          </m:r>
                          <m:f>
                            <m:fPr>
                              <m:type m:val="bar"/>
                            </m:fPr>
                            <m:num>
                              <m:r>
                                <m:t>w</m:t>
                              </m:r>
                            </m:num>
                            <m:den>
                              <m:sSubSup>
                                <m:e>
                                  <m:r>
                                    <m:t>σ</m:t>
                                  </m:r>
                                </m:e>
                                <m:sub>
                                  <m:r>
                                    <m:t>s</m:t>
                                  </m:r>
                                </m:sub>
                                <m:sup>
                                  <m:r>
                                    <m:t>2</m:t>
                                  </m:r>
                                </m:sup>
                              </m:sSubSup>
                            </m:den>
                          </m:f>
                        </m:e>
                      </m:d>
                    </m:e>
                    <m:lim>
                      <m:r>
                        <m:rPr>
                          <m:sty m:val="p"/>
                        </m:rPr>
                        <m:t>⏟</m:t>
                      </m:r>
                    </m:lim>
                  </m:limLow>
                </m:e>
                <m:lim>
                  <m:sSub>
                    <m:e>
                      <m:r>
                        <m:t>τ</m:t>
                      </m:r>
                    </m:e>
                    <m:sub>
                      <m:r>
                        <m:rPr>
                          <m:nor/>
                          <m:sty m:val="p"/>
                        </m:rPr>
                        <m:t>post</m:t>
                      </m:r>
                    </m:sub>
                  </m:sSub>
                </m:lim>
              </m:limLow>
              <m:r>
                <m:rPr>
                  <m:sty m:val="p"/>
                </m:rPr>
                <m:t>−</m:t>
              </m:r>
              <m:r>
                <m:t>2</m:t>
              </m:r>
              <m:r>
                <m:t>θ</m:t>
              </m:r>
              <m:limLow>
                <m:e>
                  <m:limLow>
                    <m:e>
                      <m:d>
                        <m:dPr>
                          <m:begChr m:val="("/>
                          <m:sepChr m:val=""/>
                          <m:endChr m:val=")"/>
                          <m:grow/>
                        </m:dPr>
                        <m:e>
                          <m:f>
                            <m:fPr>
                              <m:type m:val="bar"/>
                            </m:fPr>
                            <m:num>
                              <m:sSub>
                                <m:e>
                                  <m:r>
                                    <m:t>μ</m:t>
                                  </m:r>
                                </m:e>
                                <m:sub>
                                  <m:r>
                                    <m:rPr>
                                      <m:nor/>
                                      <m:sty m:val="p"/>
                                    </m:rPr>
                                    <m:t>prior</m:t>
                                  </m:r>
                                </m:sub>
                              </m:sSub>
                            </m:num>
                            <m:den>
                              <m:sSubSup>
                                <m:e>
                                  <m:r>
                                    <m:t>σ</m:t>
                                  </m:r>
                                </m:e>
                                <m:sub>
                                  <m:r>
                                    <m:rPr>
                                      <m:nor/>
                                      <m:sty m:val="p"/>
                                    </m:rPr>
                                    <m:t>prior</m:t>
                                  </m:r>
                                </m:sub>
                                <m:sup>
                                  <m:r>
                                    <m:t>2</m:t>
                                  </m:r>
                                </m:sup>
                              </m:sSubSup>
                            </m:den>
                          </m:f>
                          <m:r>
                            <m:rPr>
                              <m:sty m:val="p"/>
                            </m:rPr>
                            <m:t>+</m:t>
                          </m:r>
                          <m:f>
                            <m:fPr>
                              <m:type m:val="bar"/>
                            </m:fPr>
                            <m:num>
                              <m:r>
                                <m:t>w</m:t>
                              </m:r>
                              <m:r>
                                <m:t>z</m:t>
                              </m:r>
                            </m:num>
                            <m:den>
                              <m:sSubSup>
                                <m:e>
                                  <m:r>
                                    <m:t>σ</m:t>
                                  </m:r>
                                </m:e>
                                <m:sub>
                                  <m:r>
                                    <m:t>s</m:t>
                                  </m:r>
                                </m:sub>
                                <m:sup>
                                  <m:r>
                                    <m:t>2</m:t>
                                  </m:r>
                                </m:sup>
                              </m:sSubSup>
                            </m:den>
                          </m:f>
                        </m:e>
                      </m:d>
                    </m:e>
                    <m:lim>
                      <m:r>
                        <m:rPr>
                          <m:sty m:val="p"/>
                        </m:rPr>
                        <m:t>⏟</m:t>
                      </m:r>
                    </m:lim>
                  </m:limLow>
                </m:e>
                <m:lim>
                  <m:sSub>
                    <m:e>
                      <m:r>
                        <m:t>τ</m:t>
                      </m:r>
                    </m:e>
                    <m:sub>
                      <m:r>
                        <m:rPr>
                          <m:nor/>
                          <m:sty m:val="p"/>
                        </m:rPr>
                        <m:t>post</m:t>
                      </m:r>
                    </m:sub>
                  </m:sSub>
                  <m:r>
                    <m:rPr>
                      <m:sty m:val="p"/>
                    </m:rPr>
                    <m:t>⋅</m:t>
                  </m:r>
                  <m:sSub>
                    <m:e>
                      <m:r>
                        <m:t>μ</m:t>
                      </m:r>
                    </m:e>
                    <m:sub>
                      <m:r>
                        <m:rPr>
                          <m:nor/>
                          <m:sty m:val="p"/>
                        </m:rPr>
                        <m:t>post</m:t>
                      </m:r>
                    </m:sub>
                  </m:sSub>
                </m:lim>
              </m:limLow>
              <m:r>
                <m:rPr>
                  <m:sty m:val="p"/>
                </m:rPr>
                <m:t>+</m:t>
              </m:r>
              <m:r>
                <m:rPr>
                  <m:nor/>
                  <m:sty m:val="p"/>
                </m:rPr>
                <m:t>const</m:t>
              </m:r>
            </m:e>
          </m:d>
        </m:oMath>
      </m:oMathPara>
    </w:p>
    <w:p>
      <w:pPr>
        <w:pStyle w:val="FirstParagraph"/>
      </w:pPr>
      <w:r>
        <w:t xml:space="preserve">Completing the square in</w:t>
      </w:r>
      <w:r>
        <w:t xml:space="preserve"> </w:t>
      </w:r>
      <m:oMath>
        <m:r>
          <m:t>θ</m:t>
        </m:r>
      </m:oMath>
      <w:r>
        <w:t xml:space="preserve"> </w:t>
      </w:r>
      <w:r>
        <w:t xml:space="preserve">yields:</w:t>
      </w:r>
    </w:p>
    <w:p>
      <w:pPr>
        <w:pStyle w:val="BodyText"/>
      </w:pPr>
      <m:oMathPara>
        <m:oMathParaPr>
          <m:jc m:val="center"/>
        </m:oMathParaPr>
        <m:oMath>
          <m:r>
            <m:t>p</m:t>
          </m:r>
          <m:r>
            <m:rPr>
              <m:sty m:val="p"/>
            </m:rPr>
            <m:t>(</m:t>
          </m:r>
          <m:r>
            <m:t>θ</m:t>
          </m:r>
          <m:r>
            <m:rPr>
              <m:sty m:val="p"/>
            </m:rPr>
            <m:t>∣</m:t>
          </m:r>
          <m:r>
            <m:t>z</m:t>
          </m:r>
          <m:r>
            <m:rPr>
              <m:sty m:val="p"/>
            </m:rPr>
            <m:t>)</m:t>
          </m:r>
          <m:r>
            <m:rPr>
              <m:sty m:val="p"/>
            </m:rPr>
            <m:t>∝</m:t>
          </m:r>
          <m:r>
            <m:rPr>
              <m:sty m:val="p"/>
            </m:rPr>
            <m:t>exp</m:t>
          </m:r>
          <m:r>
            <m:t>​</m:t>
          </m:r>
          <m:d>
            <m:dPr>
              <m:begChr m:val="("/>
              <m:sepChr m:val=""/>
              <m:endChr m:val=")"/>
              <m:grow/>
            </m:dPr>
            <m:e>
              <m:r>
                <m:rPr>
                  <m:sty m:val="p"/>
                </m:rPr>
                <m:t>−</m:t>
              </m:r>
              <m:f>
                <m:fPr>
                  <m:type m:val="bar"/>
                </m:fPr>
                <m:num>
                  <m:r>
                    <m:rPr>
                      <m:sty m:val="p"/>
                    </m:rPr>
                    <m:t>(</m:t>
                  </m:r>
                  <m:r>
                    <m:t>θ</m:t>
                  </m:r>
                  <m:r>
                    <m:rPr>
                      <m:sty m:val="p"/>
                    </m:rPr>
                    <m:t>−</m:t>
                  </m:r>
                  <m:sSub>
                    <m:e>
                      <m:r>
                        <m:t>μ</m:t>
                      </m:r>
                    </m:e>
                    <m:sub>
                      <m:r>
                        <m:rPr>
                          <m:nor/>
                          <m:sty m:val="p"/>
                        </m:rPr>
                        <m:t>post</m:t>
                      </m:r>
                    </m:sub>
                  </m:sSub>
                  <m:sSup>
                    <m:e>
                      <m:r>
                        <m:rPr>
                          <m:sty m:val="p"/>
                        </m:rPr>
                        <m:t>)</m:t>
                      </m:r>
                    </m:e>
                    <m:sup>
                      <m:r>
                        <m:t>2</m:t>
                      </m:r>
                    </m:sup>
                  </m:sSup>
                </m:num>
                <m:den>
                  <m:r>
                    <m:t>2</m:t>
                  </m:r>
                  <m:sSubSup>
                    <m:e>
                      <m:r>
                        <m:t>σ</m:t>
                      </m:r>
                    </m:e>
                    <m:sub>
                      <m:r>
                        <m:rPr>
                          <m:nor/>
                          <m:sty m:val="p"/>
                        </m:rPr>
                        <m:t>post</m:t>
                      </m:r>
                    </m:sub>
                    <m:sup>
                      <m:r>
                        <m:t>2</m:t>
                      </m:r>
                    </m:sup>
                  </m:sSubSup>
                </m:den>
              </m:f>
            </m:e>
          </m:d>
        </m:oMath>
      </m:oMathPara>
    </w:p>
    <w:p>
      <w:pPr>
        <w:pStyle w:val="FirstParagraph"/>
      </w:pPr>
      <w:r>
        <w:t xml:space="preserve">confirming that the posterior is Gaussian with:</w:t>
      </w:r>
    </w:p>
    <w:p>
      <w:pPr>
        <w:pStyle w:val="BodyText"/>
      </w:pPr>
      <m:oMathPara>
        <m:oMathParaPr>
          <m:jc m:val="center"/>
        </m:oMathParaPr>
        <m:oMath>
          <m:borderBox>
            <m:e>
              <m:sSubSup>
                <m:e>
                  <m:r>
                    <m:t>σ</m:t>
                  </m:r>
                </m:e>
                <m:sub>
                  <m:r>
                    <m:rPr>
                      <m:nor/>
                      <m:sty m:val="p"/>
                    </m:rPr>
                    <m:t>post</m:t>
                  </m:r>
                </m:sub>
                <m:sup>
                  <m:r>
                    <m:t>2</m:t>
                  </m:r>
                </m:sup>
              </m:sSubSup>
              <m:r>
                <m:rPr>
                  <m:sty m:val="p"/>
                </m:rPr>
                <m:t>=</m:t>
              </m:r>
              <m:f>
                <m:fPr>
                  <m:type m:val="bar"/>
                </m:fPr>
                <m:num>
                  <m:r>
                    <m:t>1</m:t>
                  </m:r>
                </m:num>
                <m:den>
                  <m:sSub>
                    <m:e>
                      <m:r>
                        <m:t>τ</m:t>
                      </m:r>
                    </m:e>
                    <m:sub>
                      <m:r>
                        <m:rPr>
                          <m:nor/>
                          <m:sty m:val="p"/>
                        </m:rPr>
                        <m:t>prior</m:t>
                      </m:r>
                    </m:sub>
                  </m:sSub>
                  <m:r>
                    <m:rPr>
                      <m:sty m:val="p"/>
                    </m:rPr>
                    <m:t>+</m:t>
                  </m:r>
                  <m:sSub>
                    <m:e>
                      <m:r>
                        <m:t>τ</m:t>
                      </m:r>
                    </m:e>
                    <m:sub>
                      <m:r>
                        <m:rPr>
                          <m:nor/>
                          <m:sty m:val="p"/>
                        </m:rPr>
                        <m:t>obs</m:t>
                      </m:r>
                    </m:sub>
                  </m:sSub>
                </m:den>
              </m:f>
              <m:r>
                <m:rPr>
                  <m:sty m:val="p"/>
                </m:rPr>
                <m:t>,</m:t>
              </m:r>
              <m:r>
                <m:t>  </m:t>
              </m:r>
              <m:sSub>
                <m:e>
                  <m:r>
                    <m:t>μ</m:t>
                  </m:r>
                </m:e>
                <m:sub>
                  <m:r>
                    <m:rPr>
                      <m:nor/>
                      <m:sty m:val="p"/>
                    </m:rPr>
                    <m:t>post</m:t>
                  </m:r>
                </m:sub>
              </m:sSub>
              <m:r>
                <m:rPr>
                  <m:sty m:val="p"/>
                </m:rPr>
                <m:t>=</m:t>
              </m:r>
              <m:sSubSup>
                <m:e>
                  <m:r>
                    <m:t>σ</m:t>
                  </m:r>
                </m:e>
                <m:sub>
                  <m:r>
                    <m:rPr>
                      <m:nor/>
                      <m:sty m:val="p"/>
                    </m:rPr>
                    <m:t>post</m:t>
                  </m:r>
                </m:sub>
                <m:sup>
                  <m:r>
                    <m:t>2</m:t>
                  </m:r>
                </m:sup>
              </m:sSubSup>
              <m:d>
                <m:dPr>
                  <m:begChr m:val="("/>
                  <m:sepChr m:val=""/>
                  <m:endChr m:val=")"/>
                  <m:grow/>
                </m:dPr>
                <m:e>
                  <m:sSub>
                    <m:e>
                      <m:r>
                        <m:t>τ</m:t>
                      </m:r>
                    </m:e>
                    <m:sub>
                      <m:r>
                        <m:rPr>
                          <m:nor/>
                          <m:sty m:val="p"/>
                        </m:rPr>
                        <m:t>prior</m:t>
                      </m:r>
                    </m:sub>
                  </m:sSub>
                  <m:r>
                    <m:rPr>
                      <m:sty m:val="p"/>
                    </m:rPr>
                    <m:t>⋅</m:t>
                  </m:r>
                  <m:sSub>
                    <m:e>
                      <m:r>
                        <m:t>μ</m:t>
                      </m:r>
                    </m:e>
                    <m:sub>
                      <m:r>
                        <m:rPr>
                          <m:nor/>
                          <m:sty m:val="p"/>
                        </m:rPr>
                        <m:t>prior</m:t>
                      </m:r>
                    </m:sub>
                  </m:sSub>
                  <m:r>
                    <m:rPr>
                      <m:sty m:val="p"/>
                    </m:rPr>
                    <m:t>+</m:t>
                  </m:r>
                  <m:sSub>
                    <m:e>
                      <m:r>
                        <m:t>τ</m:t>
                      </m:r>
                    </m:e>
                    <m:sub>
                      <m:r>
                        <m:rPr>
                          <m:nor/>
                          <m:sty m:val="p"/>
                        </m:rPr>
                        <m:t>obs</m:t>
                      </m:r>
                    </m:sub>
                  </m:sSub>
                  <m:r>
                    <m:rPr>
                      <m:sty m:val="p"/>
                    </m:rPr>
                    <m:t>⋅</m:t>
                  </m:r>
                  <m:r>
                    <m:t>z</m:t>
                  </m:r>
                </m:e>
              </m:d>
            </m:e>
          </m:borderBox>
        </m:oMath>
      </m:oMathPara>
    </w:p>
    <w:bookmarkEnd w:id="18"/>
    <w:bookmarkStart w:id="19" w:name="monotonic-variance-reduction"/>
    <w:p>
      <w:pPr>
        <w:pStyle w:val="Heading2"/>
      </w:pPr>
      <w:r>
        <w:rPr>
          <w:rStyle w:val="SectionNumber"/>
        </w:rPr>
        <w:t xml:space="preserve">4.5</w:t>
      </w:r>
      <w:r>
        <w:tab/>
      </w:r>
      <w:r>
        <w:t xml:space="preserve">Monotonic Variance Reduction</w:t>
      </w:r>
    </w:p>
    <w:p>
      <w:pPr>
        <w:pStyle w:val="FirstParagraph"/>
      </w:pPr>
      <w:r>
        <w:t xml:space="preserve">Since</w:t>
      </w:r>
      <w:r>
        <w:t xml:space="preserve"> </w:t>
      </w:r>
      <m:oMath>
        <m:sSub>
          <m:e>
            <m:r>
              <m:t>τ</m:t>
            </m:r>
          </m:e>
          <m:sub>
            <m:r>
              <m:rPr>
                <m:nor/>
                <m:sty m:val="p"/>
              </m:rPr>
              <m:t>obs</m:t>
            </m:r>
          </m:sub>
        </m:sSub>
        <m:r>
          <m:rPr>
            <m:sty m:val="p"/>
          </m:rPr>
          <m:t>=</m:t>
        </m:r>
        <m:r>
          <m:t>w</m:t>
        </m:r>
        <m:r>
          <m:rPr>
            <m:sty m:val="p"/>
          </m:rPr>
          <m:t>/</m:t>
        </m:r>
        <m:sSubSup>
          <m:e>
            <m:r>
              <m:t>σ</m:t>
            </m:r>
          </m:e>
          <m:sub>
            <m:r>
              <m:t>s</m:t>
            </m:r>
          </m:sub>
          <m:sup>
            <m:r>
              <m:t>2</m:t>
            </m:r>
          </m:sup>
        </m:sSubSup>
        <m:r>
          <m:rPr>
            <m:sty m:val="p"/>
          </m:rPr>
          <m:t>&gt;</m:t>
        </m:r>
        <m:r>
          <m:t>0</m:t>
        </m:r>
      </m:oMath>
      <w:r>
        <w:t xml:space="preserve"> </w:t>
      </w:r>
      <w:r>
        <w:t xml:space="preserve">for all cells within the footprint radius (where</w:t>
      </w:r>
      <w:r>
        <w:t xml:space="preserve"> </w:t>
      </w:r>
      <m:oMath>
        <m:r>
          <m:t>w</m:t>
        </m:r>
        <m:r>
          <m:rPr>
            <m:sty m:val="p"/>
          </m:rPr>
          <m:t>&gt;</m:t>
        </m:r>
        <m:r>
          <m:t>0</m:t>
        </m:r>
      </m:oMath>
      <w:r>
        <w:t xml:space="preserve">), we have:</w:t>
      </w:r>
    </w:p>
    <w:p>
      <w:pPr>
        <w:pStyle w:val="BodyText"/>
      </w:pPr>
      <m:oMathPara>
        <m:oMathParaPr>
          <m:jc m:val="center"/>
        </m:oMathParaPr>
        <m:oMath>
          <m:sSub>
            <m:e>
              <m:r>
                <m:t>τ</m:t>
              </m:r>
            </m:e>
            <m:sub>
              <m:r>
                <m:rPr>
                  <m:nor/>
                  <m:sty m:val="p"/>
                </m:rPr>
                <m:t>post</m:t>
              </m:r>
            </m:sub>
          </m:sSub>
          <m:r>
            <m:rPr>
              <m:sty m:val="p"/>
            </m:rPr>
            <m:t>=</m:t>
          </m:r>
          <m:sSub>
            <m:e>
              <m:r>
                <m:t>τ</m:t>
              </m:r>
            </m:e>
            <m:sub>
              <m:r>
                <m:rPr>
                  <m:nor/>
                  <m:sty m:val="p"/>
                </m:rPr>
                <m:t>prior</m:t>
              </m:r>
            </m:sub>
          </m:sSub>
          <m:r>
            <m:rPr>
              <m:sty m:val="p"/>
            </m:rPr>
            <m:t>+</m:t>
          </m:r>
          <m:sSub>
            <m:e>
              <m:r>
                <m:t>τ</m:t>
              </m:r>
            </m:e>
            <m:sub>
              <m:r>
                <m:rPr>
                  <m:nor/>
                  <m:sty m:val="p"/>
                </m:rPr>
                <m:t>obs</m:t>
              </m:r>
            </m:sub>
          </m:sSub>
          <m:r>
            <m:rPr>
              <m:sty m:val="p"/>
            </m:rPr>
            <m:t>&gt;</m:t>
          </m:r>
          <m:sSub>
            <m:e>
              <m:r>
                <m:t>τ</m:t>
              </m:r>
            </m:e>
            <m:sub>
              <m:r>
                <m:rPr>
                  <m:nor/>
                  <m:sty m:val="p"/>
                </m:rPr>
                <m:t>prior</m:t>
              </m:r>
            </m:sub>
          </m:sSub>
        </m:oMath>
      </m:oMathPara>
    </w:p>
    <w:p>
      <w:pPr>
        <w:pStyle w:val="FirstParagraph"/>
      </w:pPr>
      <w:r>
        <w:t xml:space="preserve">and therefore:</w:t>
      </w:r>
    </w:p>
    <w:p>
      <w:pPr>
        <w:pStyle w:val="BodyText"/>
      </w:pPr>
      <m:oMathPara>
        <m:oMathParaPr>
          <m:jc m:val="center"/>
        </m:oMathParaPr>
        <m:oMath>
          <m:sSubSup>
            <m:e>
              <m:r>
                <m:t>σ</m:t>
              </m:r>
            </m:e>
            <m:sub>
              <m:r>
                <m:rPr>
                  <m:nor/>
                  <m:sty m:val="p"/>
                </m:rPr>
                <m:t>post</m:t>
              </m:r>
            </m:sub>
            <m:sup>
              <m:r>
                <m:t>2</m:t>
              </m:r>
            </m:sup>
          </m:sSubSup>
          <m:r>
            <m:rPr>
              <m:sty m:val="p"/>
            </m:rPr>
            <m:t>=</m:t>
          </m:r>
          <m:f>
            <m:fPr>
              <m:type m:val="bar"/>
            </m:fPr>
            <m:num>
              <m:r>
                <m:t>1</m:t>
              </m:r>
            </m:num>
            <m:den>
              <m:sSub>
                <m:e>
                  <m:r>
                    <m:t>τ</m:t>
                  </m:r>
                </m:e>
                <m:sub>
                  <m:r>
                    <m:rPr>
                      <m:nor/>
                      <m:sty m:val="p"/>
                    </m:rPr>
                    <m:t>post</m:t>
                  </m:r>
                </m:sub>
              </m:sSub>
            </m:den>
          </m:f>
          <m:r>
            <m:rPr>
              <m:sty m:val="p"/>
            </m:rPr>
            <m:t>&lt;</m:t>
          </m:r>
          <m:f>
            <m:fPr>
              <m:type m:val="bar"/>
            </m:fPr>
            <m:num>
              <m:r>
                <m:t>1</m:t>
              </m:r>
            </m:num>
            <m:den>
              <m:sSub>
                <m:e>
                  <m:r>
                    <m:t>τ</m:t>
                  </m:r>
                </m:e>
                <m:sub>
                  <m:r>
                    <m:rPr>
                      <m:nor/>
                      <m:sty m:val="p"/>
                    </m:rPr>
                    <m:t>prior</m:t>
                  </m:r>
                </m:sub>
              </m:sSub>
            </m:den>
          </m:f>
          <m:r>
            <m:rPr>
              <m:sty m:val="p"/>
            </m:rPr>
            <m:t>=</m:t>
          </m:r>
          <m:sSubSup>
            <m:e>
              <m:r>
                <m:t>σ</m:t>
              </m:r>
            </m:e>
            <m:sub>
              <m:r>
                <m:rPr>
                  <m:nor/>
                  <m:sty m:val="p"/>
                </m:rPr>
                <m:t>prior</m:t>
              </m:r>
            </m:sub>
            <m:sup>
              <m:r>
                <m:t>2</m:t>
              </m:r>
            </m:sup>
          </m:sSubSup>
        </m:oMath>
      </m:oMathPara>
    </w:p>
    <w:p>
      <w:pPr>
        <w:pStyle w:val="FirstParagraph"/>
      </w:pPr>
      <w:r>
        <w:t xml:space="preserve">Each observation strictly reduces the posterior variance of every cell within the footprint. This is a desirable property: the map can never</w:t>
      </w:r>
      <w:r>
        <w:t xml:space="preserve"> </w:t>
      </w:r>
      <w:r>
        <w:t xml:space="preserve">“unlearn”</w:t>
      </w:r>
      <w:r>
        <w:t xml:space="preserve"> </w:t>
      </w:r>
      <w:r>
        <w:t xml:space="preserve">information, and the downstream planner can treat decreasing variance as a reliable indicator of convergence.</w:t>
      </w:r>
    </w:p>
    <w:bookmarkEnd w:id="19"/>
    <w:bookmarkStart w:id="23" w:name="sequential-updates"/>
    <w:p>
      <w:pPr>
        <w:pStyle w:val="Heading2"/>
      </w:pPr>
      <w:r>
        <w:rPr>
          <w:rStyle w:val="SectionNumber"/>
        </w:rPr>
        <w:t xml:space="preserve">4.6</w:t>
      </w:r>
      <w:r>
        <w:tab/>
      </w:r>
      <w:r>
        <w:t xml:space="preserve">Sequential Updates</w:t>
      </w:r>
    </w:p>
    <w:p>
      <w:pPr>
        <w:pStyle w:val="FirstParagraph"/>
      </w:pPr>
      <w:r>
        <w:t xml:space="preserve">Because the posterior after observation</w:t>
      </w:r>
      <w:r>
        <w:t xml:space="preserve"> </w:t>
      </w:r>
      <m:oMath>
        <m:r>
          <m:t>k</m:t>
        </m:r>
      </m:oMath>
      <w:r>
        <w:t xml:space="preserve"> </w:t>
      </w:r>
      <w:r>
        <w:t xml:space="preserve">serves as the prior for observation</w:t>
      </w:r>
      <w:r>
        <w:t xml:space="preserve"> </w:t>
      </w:r>
      <m:oMath>
        <m:r>
          <m:t>k</m:t>
        </m:r>
        <m:r>
          <m:rPr>
            <m:sty m:val="p"/>
          </m:rPr>
          <m:t>+</m:t>
        </m:r>
        <m:r>
          <m:t>1</m:t>
        </m:r>
      </m:oMath>
      <w:r>
        <w:t xml:space="preserve">, the conjugate structure enables sequential processing. After</w:t>
      </w:r>
      <w:r>
        <w:t xml:space="preserve"> </w:t>
      </w:r>
      <m:oMath>
        <m:r>
          <m:t>K</m:t>
        </m:r>
      </m:oMath>
      <w:r>
        <w:t xml:space="preserve"> </w:t>
      </w:r>
      <w:r>
        <w:t xml:space="preserve">observations with respective weights</w:t>
      </w:r>
      <w:r>
        <w:t xml:space="preserve"> </w:t>
      </w:r>
      <m:oMath>
        <m:sSub>
          <m:e>
            <m:r>
              <m:t>w</m:t>
            </m:r>
          </m:e>
          <m:sub>
            <m:r>
              <m:t>1</m:t>
            </m:r>
          </m:sub>
        </m:sSub>
        <m:r>
          <m:rPr>
            <m:sty m:val="p"/>
          </m:rPr>
          <m:t>,</m:t>
        </m:r>
        <m:r>
          <m:rPr>
            <m:sty m:val="p"/>
          </m:rPr>
          <m:t>…</m:t>
        </m:r>
        <m:r>
          <m:rPr>
            <m:sty m:val="p"/>
          </m:rPr>
          <m:t>,</m:t>
        </m:r>
        <m:sSub>
          <m:e>
            <m:r>
              <m:t>w</m:t>
            </m:r>
          </m:e>
          <m:sub>
            <m:r>
              <m:t>K</m:t>
            </m:r>
          </m:sub>
        </m:sSub>
      </m:oMath>
      <w:r>
        <w:t xml:space="preserve">, the posterior precision is:</w:t>
      </w:r>
    </w:p>
    <w:p>
      <w:pPr>
        <w:pStyle w:val="BodyText"/>
      </w:pPr>
      <m:oMathPara>
        <m:oMathParaPr>
          <m:jc m:val="center"/>
        </m:oMathParaPr>
        <m:oMath>
          <m:sSub>
            <m:e>
              <m:r>
                <m:t>τ</m:t>
              </m:r>
            </m:e>
            <m:sub>
              <m:r>
                <m:t>K</m:t>
              </m:r>
            </m:sub>
          </m:sSub>
          <m:r>
            <m:rPr>
              <m:sty m:val="p"/>
            </m:rPr>
            <m:t>=</m:t>
          </m:r>
          <m:sSub>
            <m:e>
              <m:r>
                <m:t>τ</m:t>
              </m:r>
            </m:e>
            <m:sub>
              <m:r>
                <m:t>0</m:t>
              </m:r>
            </m:sub>
          </m:sSub>
          <m:r>
            <m:rPr>
              <m:sty m:val="p"/>
            </m:rPr>
            <m:t>+</m:t>
          </m:r>
          <m:nary>
            <m:naryPr>
              <m:chr m:val="∑"/>
              <m:limLoc m:val="undOvr"/>
              <m:subHide m:val="off"/>
              <m:supHide m:val="off"/>
            </m:naryPr>
            <m:sub>
              <m:r>
                <m:t>k</m:t>
              </m:r>
              <m:r>
                <m:rPr>
                  <m:sty m:val="p"/>
                </m:rPr>
                <m:t>=</m:t>
              </m:r>
              <m:r>
                <m:t>1</m:t>
              </m:r>
            </m:sub>
            <m:sup>
              <m:r>
                <m:t>K</m:t>
              </m:r>
            </m:sup>
            <m:e>
              <m:f>
                <m:fPr>
                  <m:type m:val="bar"/>
                </m:fPr>
                <m:num>
                  <m:sSub>
                    <m:e>
                      <m:r>
                        <m:t>w</m:t>
                      </m:r>
                    </m:e>
                    <m:sub>
                      <m:r>
                        <m:t>k</m:t>
                      </m:r>
                    </m:sub>
                  </m:sSub>
                </m:num>
                <m:den>
                  <m:sSubSup>
                    <m:e>
                      <m:r>
                        <m:t>σ</m:t>
                      </m:r>
                    </m:e>
                    <m:sub>
                      <m:r>
                        <m:t>s</m:t>
                      </m:r>
                      <m:r>
                        <m:rPr>
                          <m:sty m:val="p"/>
                        </m:rPr>
                        <m:t>,</m:t>
                      </m:r>
                      <m:r>
                        <m:t>k</m:t>
                      </m:r>
                    </m:sub>
                    <m:sup>
                      <m:r>
                        <m:t>2</m:t>
                      </m:r>
                    </m:sup>
                  </m:sSubSup>
                </m:den>
              </m:f>
            </m:e>
          </m:nary>
        </m:oMath>
      </m:oMathPara>
    </w:p>
    <w:p>
      <w:pPr>
        <w:pStyle w:val="FirstParagraph"/>
      </w:pPr>
      <w:r>
        <w:t xml:space="preserve">This additive accumulation of precision is the key property that makes the method suitable for streaming sensor data.</w:t>
      </w:r>
    </w:p>
    <w:p>
      <w:pPr>
        <w:pStyle w:val="CaptionedFigure"/>
      </w:pPr>
      <w:r>
        <w:drawing>
          <wp:inline>
            <wp:extent cx="5334000" cy="1860436"/>
            <wp:effectExtent b="0" l="0" r="0" t="0"/>
            <wp:docPr descr="Bayesian Conjugate Update: Uncertainty Reduction. Left: uninformative prior \mathcal{N}(0, 100). Center: after one observation, the posterior collapses to a narrow distribution near the observed value. Right: after five observations, the posterior tightly concentrates around the true concentration with variance reduced to 0.38." title="" id="21" name="Picture"/>
            <a:graphic>
              <a:graphicData uri="http://schemas.openxmlformats.org/drawingml/2006/picture">
                <pic:pic>
                  <pic:nvPicPr>
                    <pic:cNvPr descr="figures/bayesian_update.png" id="22" name="Picture"/>
                    <pic:cNvPicPr>
                      <a:picLocks noChangeArrowheads="1" noChangeAspect="1"/>
                    </pic:cNvPicPr>
                  </pic:nvPicPr>
                  <pic:blipFill>
                    <a:blip r:embed="rId20"/>
                    <a:stretch>
                      <a:fillRect/>
                    </a:stretch>
                  </pic:blipFill>
                  <pic:spPr bwMode="auto">
                    <a:xfrm>
                      <a:off x="0" y="0"/>
                      <a:ext cx="5334000" cy="1860436"/>
                    </a:xfrm>
                    <a:prstGeom prst="rect">
                      <a:avLst/>
                    </a:prstGeom>
                    <a:noFill/>
                    <a:ln w="9525">
                      <a:noFill/>
                      <a:headEnd/>
                      <a:tailEnd/>
                    </a:ln>
                  </pic:spPr>
                </pic:pic>
              </a:graphicData>
            </a:graphic>
          </wp:inline>
        </w:drawing>
      </w:r>
    </w:p>
    <w:p>
      <w:pPr>
        <w:pStyle w:val="ImageCaption"/>
      </w:pPr>
      <w:r>
        <w:t xml:space="preserve">Bayesian Conjugate Update: Uncertainty Reduction. Left: uninformative prior</w:t>
      </w:r>
      <w:r>
        <w:t xml:space="preserve"> </w:t>
      </w:r>
      <m:oMath>
        <m:r>
          <m:rPr>
            <m:scr m:val="script"/>
            <m:sty m:val="p"/>
          </m:rPr>
          <m:t>N</m:t>
        </m:r>
        <m:r>
          <m:rPr>
            <m:sty m:val="p"/>
          </m:rPr>
          <m:t>(</m:t>
        </m:r>
        <m:r>
          <m:t>0</m:t>
        </m:r>
        <m:r>
          <m:rPr>
            <m:sty m:val="p"/>
          </m:rPr>
          <m:t>,</m:t>
        </m:r>
        <m:r>
          <m:t>100</m:t>
        </m:r>
        <m:r>
          <m:rPr>
            <m:sty m:val="p"/>
          </m:rPr>
          <m:t>)</m:t>
        </m:r>
      </m:oMath>
      <w:r>
        <w:t xml:space="preserve">. Center: after one observation, the posterior collapses to a narrow distribution near the observed value. Right: after five observations, the posterior tightly concentrates around the true concentration with variance reduced to</w:t>
      </w:r>
      <w:r>
        <w:t xml:space="preserve"> </w:t>
      </w:r>
      <m:oMath>
        <m:r>
          <m:t>0.38</m:t>
        </m:r>
      </m:oMath>
      <w:r>
        <w:t xml:space="preserve">.</w:t>
      </w:r>
    </w:p>
    <w:bookmarkEnd w:id="23"/>
    <w:bookmarkEnd w:id="24"/>
    <w:bookmarkStart w:id="32" w:name="spatial-footprint-model"/>
    <w:p>
      <w:pPr>
        <w:pStyle w:val="Heading1"/>
      </w:pPr>
      <w:r>
        <w:rPr>
          <w:rStyle w:val="SectionNumber"/>
        </w:rPr>
        <w:t xml:space="preserve">5</w:t>
      </w:r>
      <w:r>
        <w:tab/>
      </w:r>
      <w:r>
        <w:t xml:space="preserve">Spatial Footprint Model</w:t>
      </w:r>
    </w:p>
    <w:bookmarkStart w:id="25" w:name="motivation"/>
    <w:p>
      <w:pPr>
        <w:pStyle w:val="Heading2"/>
      </w:pPr>
      <w:r>
        <w:rPr>
          <w:rStyle w:val="SectionNumber"/>
        </w:rPr>
        <w:t xml:space="preserve">5.1</w:t>
      </w:r>
      <w:r>
        <w:tab/>
      </w:r>
      <w:r>
        <w:t xml:space="preserve">Motivation</w:t>
      </w:r>
    </w:p>
    <w:p>
      <w:pPr>
        <w:pStyle w:val="FirstParagraph"/>
      </w:pPr>
      <w:r>
        <w:t xml:space="preserve">A neutron spectrometer does not measure ice concentration at a mathematical point. The instrument integrates epithermal neutron flux over a spatial region whose extent depends on the detector geometry, measurement altitude, and regolith properties. To model this spatial sensitivity, SELENE employs a Gaussian footprint kernel that weights each cell’s update according to its distance from the sensor position.</w:t>
      </w:r>
    </w:p>
    <w:bookmarkEnd w:id="25"/>
    <w:bookmarkStart w:id="26" w:name="weight-function"/>
    <w:p>
      <w:pPr>
        <w:pStyle w:val="Heading2"/>
      </w:pPr>
      <w:r>
        <w:rPr>
          <w:rStyle w:val="SectionNumber"/>
        </w:rPr>
        <w:t xml:space="preserve">5.2</w:t>
      </w:r>
      <w:r>
        <w:tab/>
      </w:r>
      <w:r>
        <w:t xml:space="preserve">Weight Function</w:t>
      </w:r>
    </w:p>
    <w:p>
      <w:pPr>
        <w:pStyle w:val="FirstParagraph"/>
      </w:pPr>
      <w:r>
        <w:t xml:space="preserve">Let</w:t>
      </w:r>
      <w:r>
        <w:t xml:space="preserve"> </w:t>
      </w:r>
      <m:oMath>
        <m:r>
          <m:rPr>
            <m:sty m:val="bi"/>
          </m:rPr>
          <m:t>p</m:t>
        </m:r>
        <m:r>
          <m:rPr>
            <m:sty m:val="p"/>
          </m:rPr>
          <m:t>=</m:t>
        </m:r>
        <m:r>
          <m:rPr>
            <m:sty m:val="p"/>
          </m:rPr>
          <m:t>(</m:t>
        </m:r>
        <m:r>
          <m:t>x</m:t>
        </m:r>
        <m:r>
          <m:rPr>
            <m:sty m:val="p"/>
          </m:rPr>
          <m:t>,</m:t>
        </m:r>
        <m:r>
          <m:t>y</m:t>
        </m:r>
        <m:r>
          <m:rPr>
            <m:sty m:val="p"/>
          </m:rPr>
          <m:t>)</m:t>
        </m:r>
      </m:oMath>
      <w:r>
        <w:t xml:space="preserve"> </w:t>
      </w:r>
      <w:r>
        <w:t xml:space="preserve">be the sensor position and</w:t>
      </w:r>
      <w:r>
        <w:t xml:space="preserve"> </w:t>
      </w:r>
      <m:oMath>
        <m:r>
          <m:rPr>
            <m:sty m:val="bi"/>
          </m:rPr>
          <m:t>c</m:t>
        </m:r>
        <m:r>
          <m:rPr>
            <m:sty m:val="p"/>
          </m:rPr>
          <m:t>=</m:t>
        </m:r>
        <m:r>
          <m:rPr>
            <m:sty m:val="p"/>
          </m:rPr>
          <m:t>(</m:t>
        </m:r>
        <m:sSub>
          <m:e>
            <m:r>
              <m:t>c</m:t>
            </m:r>
          </m:e>
          <m:sub>
            <m:r>
              <m:t>x</m:t>
            </m:r>
          </m:sub>
        </m:sSub>
        <m:r>
          <m:rPr>
            <m:sty m:val="p"/>
          </m:rPr>
          <m:t>,</m:t>
        </m:r>
        <m:sSub>
          <m:e>
            <m:r>
              <m:t>c</m:t>
            </m:r>
          </m:e>
          <m:sub>
            <m:r>
              <m:t>y</m:t>
            </m:r>
          </m:sub>
        </m:sSub>
        <m:r>
          <m:rPr>
            <m:sty m:val="p"/>
          </m:rPr>
          <m:t>)</m:t>
        </m:r>
      </m:oMath>
      <w:r>
        <w:t xml:space="preserve"> </w:t>
      </w:r>
      <w:r>
        <w:t xml:space="preserve">be the center of a grid cell. The distance between them is:</w:t>
      </w:r>
    </w:p>
    <w:p>
      <w:pPr>
        <w:pStyle w:val="BodyText"/>
      </w:pPr>
      <m:oMathPara>
        <m:oMathParaPr>
          <m:jc m:val="center"/>
        </m:oMathParaPr>
        <m:oMath>
          <m:r>
            <m:t>r</m:t>
          </m:r>
          <m:r>
            <m:rPr>
              <m:sty m:val="p"/>
            </m:rPr>
            <m:t>=</m:t>
          </m:r>
          <m:r>
            <m:rPr>
              <m:sty m:val="p"/>
            </m:rPr>
            <m:t>∥</m:t>
          </m:r>
          <m:r>
            <m:rPr>
              <m:sty m:val="bi"/>
            </m:rPr>
            <m:t>p</m:t>
          </m:r>
          <m:r>
            <m:rPr>
              <m:sty m:val="p"/>
            </m:rPr>
            <m:t>−</m:t>
          </m:r>
          <m:r>
            <m:rPr>
              <m:sty m:val="bi"/>
            </m:rPr>
            <m:t>c</m:t>
          </m:r>
          <m:r>
            <m:rPr>
              <m:sty m:val="p"/>
            </m:rPr>
            <m:t>∥</m:t>
          </m:r>
          <m:r>
            <m:rPr>
              <m:sty m:val="p"/>
            </m:rPr>
            <m:t>=</m:t>
          </m:r>
          <m:rad>
            <m:radPr>
              <m:degHide m:val="on"/>
            </m:radPr>
            <m:deg/>
            <m:e>
              <m:r>
                <m:rPr>
                  <m:sty m:val="p"/>
                </m:rPr>
                <m:t>(</m:t>
              </m:r>
              <m:r>
                <m:t>x</m:t>
              </m:r>
              <m:r>
                <m:rPr>
                  <m:sty m:val="p"/>
                </m:rPr>
                <m:t>−</m:t>
              </m:r>
              <m:sSub>
                <m:e>
                  <m:r>
                    <m:t>c</m:t>
                  </m:r>
                </m:e>
                <m:sub>
                  <m:r>
                    <m:t>x</m:t>
                  </m:r>
                </m:sub>
              </m:sSub>
              <m:sSup>
                <m:e>
                  <m:r>
                    <m:rPr>
                      <m:sty m:val="p"/>
                    </m:rPr>
                    <m:t>)</m:t>
                  </m:r>
                </m:e>
                <m:sup>
                  <m:r>
                    <m:t>2</m:t>
                  </m:r>
                </m:sup>
              </m:sSup>
              <m:r>
                <m:rPr>
                  <m:sty m:val="p"/>
                </m:rPr>
                <m:t>+</m:t>
              </m:r>
              <m:r>
                <m:rPr>
                  <m:sty m:val="p"/>
                </m:rPr>
                <m:t>(</m:t>
              </m:r>
              <m:r>
                <m:t>y</m:t>
              </m:r>
              <m:r>
                <m:rPr>
                  <m:sty m:val="p"/>
                </m:rPr>
                <m:t>−</m:t>
              </m:r>
              <m:sSub>
                <m:e>
                  <m:r>
                    <m:t>c</m:t>
                  </m:r>
                </m:e>
                <m:sub>
                  <m:r>
                    <m:t>y</m:t>
                  </m:r>
                </m:sub>
              </m:sSub>
              <m:sSup>
                <m:e>
                  <m:r>
                    <m:rPr>
                      <m:sty m:val="p"/>
                    </m:rPr>
                    <m:t>)</m:t>
                  </m:r>
                </m:e>
                <m:sup>
                  <m:r>
                    <m:t>2</m:t>
                  </m:r>
                </m:sup>
              </m:sSup>
            </m:e>
          </m:rad>
        </m:oMath>
      </m:oMathPara>
    </w:p>
    <w:p>
      <w:pPr>
        <w:pStyle w:val="FirstParagraph"/>
      </w:pPr>
      <w:r>
        <w:t xml:space="preserve">The observation weight is a Gaussian function of distance:</w:t>
      </w:r>
    </w:p>
    <w:p>
      <w:pPr>
        <w:pStyle w:val="BodyText"/>
      </w:pPr>
      <m:oMathPara>
        <m:oMathParaPr>
          <m:jc m:val="center"/>
        </m:oMathParaPr>
        <m:oMath>
          <m:r>
            <m:t>w</m:t>
          </m:r>
          <m:r>
            <m:rPr>
              <m:sty m:val="p"/>
            </m:rPr>
            <m:t>(</m:t>
          </m:r>
          <m:r>
            <m:t>r</m:t>
          </m:r>
          <m:r>
            <m:rPr>
              <m:sty m:val="p"/>
            </m:rPr>
            <m:t>)</m:t>
          </m:r>
          <m:r>
            <m:rPr>
              <m:sty m:val="p"/>
            </m:rPr>
            <m:t>=</m:t>
          </m:r>
          <m:r>
            <m:rPr>
              <m:sty m:val="p"/>
            </m:rPr>
            <m:t>exp</m:t>
          </m:r>
          <m:r>
            <m:t>​</m:t>
          </m:r>
          <m:d>
            <m:dPr>
              <m:begChr m:val="("/>
              <m:sepChr m:val=""/>
              <m:endChr m:val=")"/>
              <m:grow/>
            </m:dPr>
            <m:e>
              <m:r>
                <m:rPr>
                  <m:sty m:val="p"/>
                </m:rPr>
                <m:t>−</m:t>
              </m:r>
              <m:f>
                <m:fPr>
                  <m:type m:val="bar"/>
                </m:fPr>
                <m:num>
                  <m:sSup>
                    <m:e>
                      <m:r>
                        <m:t>r</m:t>
                      </m:r>
                    </m:e>
                    <m:sup>
                      <m:r>
                        <m:t>2</m:t>
                      </m:r>
                    </m:sup>
                  </m:sSup>
                </m:num>
                <m:den>
                  <m:r>
                    <m:t>2</m:t>
                  </m:r>
                  <m:sSubSup>
                    <m:e>
                      <m:r>
                        <m:t>σ</m:t>
                      </m:r>
                    </m:e>
                    <m:sub>
                      <m:r>
                        <m:t>f</m:t>
                      </m:r>
                    </m:sub>
                    <m:sup>
                      <m:r>
                        <m:t>2</m:t>
                      </m:r>
                    </m:sup>
                  </m:sSubSup>
                </m:den>
              </m:f>
            </m:e>
          </m:d>
        </m:oMath>
      </m:oMathPara>
    </w:p>
    <w:p>
      <w:pPr>
        <w:pStyle w:val="FirstParagraph"/>
      </w:pPr>
      <w:r>
        <w:t xml:space="preserve">where</w:t>
      </w:r>
      <w:r>
        <w:t xml:space="preserve"> </w:t>
      </w:r>
      <m:oMath>
        <m:sSub>
          <m:e>
            <m:r>
              <m:t>σ</m:t>
            </m:r>
          </m:e>
          <m:sub>
            <m:r>
              <m:t>f</m:t>
            </m:r>
          </m:sub>
        </m:sSub>
      </m:oMath>
      <w:r>
        <w:t xml:space="preserve"> </w:t>
      </w:r>
      <w:r>
        <w:t xml:space="preserve">is the footprint width parameter (</w:t>
      </w:r>
      <m:oMath>
        <m:sSub>
          <m:e>
            <m:r>
              <m:t>σ</m:t>
            </m:r>
          </m:e>
          <m:sub>
            <m:r>
              <m:t>f</m:t>
            </m:r>
          </m:sub>
        </m:sSub>
        <m:r>
          <m:rPr>
            <m:sty m:val="p"/>
          </m:rPr>
          <m:t>=</m:t>
        </m:r>
        <m:r>
          <m:t>3.0</m:t>
        </m:r>
      </m:oMath>
      <w:r>
        <w:t xml:space="preserve"> </w:t>
      </w:r>
      <w:r>
        <w:t xml:space="preserve">m in the default configuration). The weight is applied only to cells within a hard cutoff radius</w:t>
      </w:r>
      <w:r>
        <w:t xml:space="preserve"> </w:t>
      </w:r>
      <m:oMath>
        <m:sSub>
          <m:e>
            <m:r>
              <m:t>R</m:t>
            </m:r>
          </m:e>
          <m:sub>
            <m:r>
              <m:t>f</m:t>
            </m:r>
          </m:sub>
        </m:sSub>
        <m:r>
          <m:rPr>
            <m:sty m:val="p"/>
          </m:rPr>
          <m:t>=</m:t>
        </m:r>
        <m:r>
          <m:t>5.0</m:t>
        </m:r>
      </m:oMath>
      <w:r>
        <w:t xml:space="preserve"> </w:t>
      </w:r>
      <w:r>
        <w:t xml:space="preserve">m:</w:t>
      </w:r>
    </w:p>
    <w:p>
      <w:pPr>
        <w:pStyle w:val="BodyText"/>
      </w:pPr>
      <m:oMathPara>
        <m:oMathParaPr>
          <m:jc m:val="center"/>
        </m:oMathParaPr>
        <m:oMath>
          <m:r>
            <m:t>w</m:t>
          </m:r>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t>​</m:t>
                    </m:r>
                    <m:d>
                      <m:dPr>
                        <m:begChr m:val="("/>
                        <m:sepChr m:val=""/>
                        <m:endChr m:val=")"/>
                        <m:grow/>
                      </m:dPr>
                      <m:e>
                        <m:r>
                          <m:rPr>
                            <m:sty m:val="p"/>
                          </m:rPr>
                          <m:t>−</m:t>
                        </m:r>
                        <m:f>
                          <m:fPr>
                            <m:type m:val="bar"/>
                          </m:fPr>
                          <m:num>
                            <m:sSup>
                              <m:e>
                                <m:r>
                                  <m:t>r</m:t>
                                </m:r>
                              </m:e>
                              <m:sup>
                                <m:r>
                                  <m:t>2</m:t>
                                </m:r>
                              </m:sup>
                            </m:sSup>
                          </m:num>
                          <m:den>
                            <m:r>
                              <m:t>2</m:t>
                            </m:r>
                            <m:sSubSup>
                              <m:e>
                                <m:r>
                                  <m:t>σ</m:t>
                                </m:r>
                              </m:e>
                              <m:sub>
                                <m:r>
                                  <m:t>f</m:t>
                                </m:r>
                              </m:sub>
                              <m:sup>
                                <m:r>
                                  <m:t>2</m:t>
                                </m:r>
                              </m:sup>
                            </m:sSubSup>
                          </m:den>
                        </m:f>
                      </m:e>
                    </m:d>
                  </m:e>
                  <m:e>
                    <m:r>
                      <m:rPr>
                        <m:nor/>
                        <m:sty m:val="p"/>
                      </m:rPr>
                      <m:t>if </m:t>
                    </m:r>
                    <m:r>
                      <m:t>r</m:t>
                    </m:r>
                    <m:r>
                      <m:rPr>
                        <m:sty m:val="p"/>
                      </m:rPr>
                      <m:t>≤</m:t>
                    </m:r>
                    <m:sSub>
                      <m:e>
                        <m:r>
                          <m:t>R</m:t>
                        </m:r>
                      </m:e>
                      <m:sub>
                        <m:r>
                          <m:t>f</m:t>
                        </m:r>
                      </m:sub>
                    </m:sSub>
                  </m:e>
                </m:mr>
                <m:mr>
                  <m:e>
                    <m:r>
                      <m:t>0</m:t>
                    </m:r>
                  </m:e>
                  <m:e>
                    <m:r>
                      <m:rPr>
                        <m:nor/>
                        <m:sty m:val="p"/>
                      </m:rPr>
                      <m:t>otherwise</m:t>
                    </m:r>
                  </m:e>
                </m:mr>
              </m:m>
            </m:e>
          </m:d>
        </m:oMath>
      </m:oMathPara>
    </w:p>
    <w:p>
      <w:pPr>
        <w:pStyle w:val="FirstParagraph"/>
      </w:pPr>
      <w:r>
        <w:t xml:space="preserve">At the cutoff distance,</w:t>
      </w:r>
      <w:r>
        <w:t xml:space="preserve"> </w:t>
      </w:r>
      <m:oMath>
        <m:r>
          <m:t>w</m:t>
        </m:r>
        <m:r>
          <m:rPr>
            <m:sty m:val="p"/>
          </m:rPr>
          <m:t>(</m:t>
        </m:r>
        <m:sSub>
          <m:e>
            <m:r>
              <m:t>R</m:t>
            </m:r>
          </m:e>
          <m:sub>
            <m:r>
              <m:t>f</m:t>
            </m:r>
          </m:sub>
        </m:sSub>
        <m:r>
          <m:rPr>
            <m:sty m:val="p"/>
          </m:rPr>
          <m:t>)</m:t>
        </m:r>
        <m:r>
          <m:rPr>
            <m:sty m:val="p"/>
          </m:rPr>
          <m:t>=</m:t>
        </m:r>
        <m:r>
          <m:rPr>
            <m:sty m:val="p"/>
          </m:rPr>
          <m:t>exp</m:t>
        </m:r>
        <m:r>
          <m:rPr>
            <m:sty m:val="p"/>
          </m:rPr>
          <m:t>(</m:t>
        </m:r>
        <m:r>
          <m:rPr>
            <m:sty m:val="p"/>
          </m:rPr>
          <m:t>−</m:t>
        </m:r>
        <m:r>
          <m:t>25</m:t>
        </m:r>
        <m:r>
          <m:rPr>
            <m:sty m:val="p"/>
          </m:rPr>
          <m:t>/</m:t>
        </m:r>
        <m:r>
          <m:t>18</m:t>
        </m:r>
        <m:r>
          <m:rPr>
            <m:sty m:val="p"/>
          </m:rPr>
          <m:t>)</m:t>
        </m:r>
        <m:r>
          <m:rPr>
            <m:sty m:val="p"/>
          </m:rPr>
          <m:t>≈</m:t>
        </m:r>
        <m:r>
          <m:t>0.25</m:t>
        </m:r>
      </m:oMath>
      <w:r>
        <w:t xml:space="preserve">, so cells at the boundary still receive a nontrivial information update.</w:t>
      </w:r>
    </w:p>
    <w:bookmarkEnd w:id="26"/>
    <w:bookmarkStart w:id="30" w:name="X6998eaa109c4d3aa2731576e05c9a492ba19217"/>
    <w:p>
      <w:pPr>
        <w:pStyle w:val="Heading2"/>
      </w:pPr>
      <w:r>
        <w:rPr>
          <w:rStyle w:val="SectionNumber"/>
        </w:rPr>
        <w:t xml:space="preserve">5.3</w:t>
      </w:r>
      <w:r>
        <w:tab/>
      </w:r>
      <w:r>
        <w:t xml:space="preserve">Interpretation as Effective Observation Variance</w:t>
      </w:r>
    </w:p>
    <w:p>
      <w:pPr>
        <w:pStyle w:val="FirstParagraph"/>
      </w:pPr>
      <w:r>
        <w:t xml:space="preserve">The weight</w:t>
      </w:r>
      <w:r>
        <w:t xml:space="preserve"> </w:t>
      </w:r>
      <m:oMath>
        <m:r>
          <m:t>w</m:t>
        </m:r>
      </m:oMath>
      <w:r>
        <w:t xml:space="preserve"> </w:t>
      </w:r>
      <w:r>
        <w:t xml:space="preserve">modulates the observation precision:</w:t>
      </w:r>
    </w:p>
    <w:p>
      <w:pPr>
        <w:pStyle w:val="BodyText"/>
      </w:pPr>
      <m:oMathPara>
        <m:oMathParaPr>
          <m:jc m:val="center"/>
        </m:oMathParaPr>
        <m:oMath>
          <m:sSub>
            <m:e>
              <m:r>
                <m:t>τ</m:t>
              </m:r>
            </m:e>
            <m:sub>
              <m:r>
                <m:rPr>
                  <m:nor/>
                  <m:sty m:val="p"/>
                </m:rPr>
                <m:t>obs</m:t>
              </m:r>
            </m:sub>
          </m:sSub>
          <m:r>
            <m:rPr>
              <m:sty m:val="p"/>
            </m:rPr>
            <m:t>=</m:t>
          </m:r>
          <m:f>
            <m:fPr>
              <m:type m:val="bar"/>
            </m:fPr>
            <m:num>
              <m:r>
                <m:t>w</m:t>
              </m:r>
            </m:num>
            <m:den>
              <m:sSubSup>
                <m:e>
                  <m:r>
                    <m:t>σ</m:t>
                  </m:r>
                </m:e>
                <m:sub>
                  <m:r>
                    <m:t>s</m:t>
                  </m:r>
                </m:sub>
                <m:sup>
                  <m:r>
                    <m:t>2</m:t>
                  </m:r>
                </m:sup>
              </m:sSubSup>
            </m:den>
          </m:f>
          <m:r>
            <m:rPr>
              <m:sty m:val="p"/>
            </m:rPr>
            <m:t>=</m:t>
          </m:r>
          <m:f>
            <m:fPr>
              <m:type m:val="bar"/>
            </m:fPr>
            <m:num>
              <m:r>
                <m:t>1</m:t>
              </m:r>
            </m:num>
            <m:den>
              <m:sSubSup>
                <m:e>
                  <m:r>
                    <m:t>σ</m:t>
                  </m:r>
                </m:e>
                <m:sub>
                  <m:r>
                    <m:t>s</m:t>
                  </m:r>
                </m:sub>
                <m:sup>
                  <m:r>
                    <m:t>2</m:t>
                  </m:r>
                </m:sup>
              </m:sSubSup>
              <m:r>
                <m:rPr>
                  <m:sty m:val="p"/>
                </m:rPr>
                <m:t>/</m:t>
              </m:r>
              <m:r>
                <m:t>w</m:t>
              </m:r>
            </m:den>
          </m:f>
        </m:oMath>
      </m:oMathPara>
    </w:p>
    <w:p>
      <w:pPr>
        <w:pStyle w:val="FirstParagraph"/>
      </w:pPr>
      <w:r>
        <w:t xml:space="preserve">This is equivalent to treating the observation at cell</w:t>
      </w:r>
      <w:r>
        <w:t xml:space="preserve"> </w:t>
      </w:r>
      <m:oMath>
        <m:r>
          <m:rPr>
            <m:sty m:val="p"/>
          </m:rPr>
          <m:t>(</m:t>
        </m:r>
        <m:sSub>
          <m:e>
            <m:r>
              <m:t>g</m:t>
            </m:r>
          </m:e>
          <m:sub>
            <m:r>
              <m:t>x</m:t>
            </m:r>
          </m:sub>
        </m:sSub>
        <m:r>
          <m:rPr>
            <m:sty m:val="p"/>
          </m:rPr>
          <m:t>,</m:t>
        </m:r>
        <m:sSub>
          <m:e>
            <m:r>
              <m:t>g</m:t>
            </m:r>
          </m:e>
          <m:sub>
            <m:r>
              <m:t>y</m:t>
            </m:r>
          </m:sub>
        </m:sSub>
        <m:r>
          <m:rPr>
            <m:sty m:val="p"/>
          </m:rPr>
          <m:t>)</m:t>
        </m:r>
      </m:oMath>
      <w:r>
        <w:t xml:space="preserve"> </w:t>
      </w:r>
      <w:r>
        <w:t xml:space="preserve">as having an</w:t>
      </w:r>
      <w:r>
        <w:t xml:space="preserve"> </w:t>
      </w:r>
      <w:r>
        <w:rPr>
          <w:i/>
          <w:iCs/>
        </w:rPr>
        <w:t xml:space="preserve">effective</w:t>
      </w:r>
      <w:r>
        <w:t xml:space="preserve"> </w:t>
      </w:r>
      <w:r>
        <w:t xml:space="preserve">noise variance of</w:t>
      </w:r>
      <w:r>
        <w:t xml:space="preserve"> </w:t>
      </w:r>
      <m:oMath>
        <m:sSubSup>
          <m:e>
            <m:r>
              <m:t>σ</m:t>
            </m:r>
          </m:e>
          <m:sub>
            <m:r>
              <m:t>s</m:t>
            </m:r>
          </m:sub>
          <m:sup>
            <m:r>
              <m:t>2</m:t>
            </m:r>
          </m:sup>
        </m:sSubSup>
        <m:r>
          <m:rPr>
            <m:sty m:val="p"/>
          </m:rPr>
          <m:t>/</m:t>
        </m:r>
        <m:r>
          <m:t>w</m:t>
        </m:r>
      </m:oMath>
      <w:r>
        <w:t xml:space="preserve">. At the sensor position (</w:t>
      </w:r>
      <m:oMath>
        <m:r>
          <m:t>r</m:t>
        </m:r>
        <m:r>
          <m:rPr>
            <m:sty m:val="p"/>
          </m:rPr>
          <m:t>=</m:t>
        </m:r>
        <m:r>
          <m:t>0</m:t>
        </m:r>
      </m:oMath>
      <w:r>
        <w:t xml:space="preserve">,</w:t>
      </w:r>
      <w:r>
        <w:t xml:space="preserve"> </w:t>
      </w:r>
      <m:oMath>
        <m:r>
          <m:t>w</m:t>
        </m:r>
        <m:r>
          <m:rPr>
            <m:sty m:val="p"/>
          </m:rPr>
          <m:t>=</m:t>
        </m:r>
        <m:r>
          <m:t>1</m:t>
        </m:r>
      </m:oMath>
      <w:r>
        <w:t xml:space="preserve">), the observation has its nominal precision. At the footprint boundary (</w:t>
      </w:r>
      <m:oMath>
        <m:r>
          <m:t>r</m:t>
        </m:r>
        <m:r>
          <m:rPr>
            <m:sty m:val="p"/>
          </m:rPr>
          <m:t>=</m:t>
        </m:r>
        <m:sSub>
          <m:e>
            <m:r>
              <m:t>R</m:t>
            </m:r>
          </m:e>
          <m:sub>
            <m:r>
              <m:t>f</m:t>
            </m:r>
          </m:sub>
        </m:sSub>
      </m:oMath>
      <w:r>
        <w:t xml:space="preserve">,</w:t>
      </w:r>
      <w:r>
        <w:t xml:space="preserve"> </w:t>
      </w:r>
      <m:oMath>
        <m:r>
          <m:t>w</m:t>
        </m:r>
        <m:r>
          <m:rPr>
            <m:sty m:val="p"/>
          </m:rPr>
          <m:t>≈</m:t>
        </m:r>
        <m:r>
          <m:t>0.25</m:t>
        </m:r>
      </m:oMath>
      <w:r>
        <w:t xml:space="preserve">), the effective noise variance is</w:t>
      </w:r>
      <w:r>
        <w:t xml:space="preserve"> </w:t>
      </w:r>
      <m:oMath>
        <m:r>
          <m:t>4</m:t>
        </m:r>
        <m:sSubSup>
          <m:e>
            <m:r>
              <m:t>σ</m:t>
            </m:r>
          </m:e>
          <m:sub>
            <m:r>
              <m:t>s</m:t>
            </m:r>
          </m:sub>
          <m:sup>
            <m:r>
              <m:t>2</m:t>
            </m:r>
          </m:sup>
        </m:sSubSup>
      </m:oMath>
      <w:r>
        <w:t xml:space="preserve"> </w:t>
      </w:r>
      <w:r>
        <w:t xml:space="preserve">– four times noisier. This graduated degradation of information with distance is a physically reasonable model of spatial sensor uncertainty.</w:t>
      </w:r>
    </w:p>
    <w:p>
      <w:pPr>
        <w:pStyle w:val="CaptionedFigure"/>
      </w:pPr>
      <w:r>
        <w:drawing>
          <wp:inline>
            <wp:extent cx="2740141" cy="2608639"/>
            <wp:effectExtent b="0" l="0" r="0" t="0"/>
            <wp:docPr descr="Spatial Footprint: distance-decayed weight profile. The Gaussian kernel w = \exp(-r^2/2\sigma_f^2) with \sigma_f = 3.0 m provides smooth weight decay. The hard cutoff at R_f = 5.0 m bounds the number of cells updated per reading." title="" id="28" name="Picture"/>
            <a:graphic>
              <a:graphicData uri="http://schemas.openxmlformats.org/drawingml/2006/picture">
                <pic:pic>
                  <pic:nvPicPr>
                    <pic:cNvPr descr="figures/spatial_footprint.png" id="29" name="Picture"/>
                    <pic:cNvPicPr>
                      <a:picLocks noChangeArrowheads="1" noChangeAspect="1"/>
                    </pic:cNvPicPr>
                  </pic:nvPicPr>
                  <pic:blipFill>
                    <a:blip r:embed="rId27"/>
                    <a:stretch>
                      <a:fillRect/>
                    </a:stretch>
                  </pic:blipFill>
                  <pic:spPr bwMode="auto">
                    <a:xfrm>
                      <a:off x="0" y="0"/>
                      <a:ext cx="2740141" cy="2608639"/>
                    </a:xfrm>
                    <a:prstGeom prst="rect">
                      <a:avLst/>
                    </a:prstGeom>
                    <a:noFill/>
                    <a:ln w="9525">
                      <a:noFill/>
                      <a:headEnd/>
                      <a:tailEnd/>
                    </a:ln>
                  </pic:spPr>
                </pic:pic>
              </a:graphicData>
            </a:graphic>
          </wp:inline>
        </w:drawing>
      </w:r>
    </w:p>
    <w:p>
      <w:pPr>
        <w:pStyle w:val="ImageCaption"/>
      </w:pPr>
      <w:r>
        <w:t xml:space="preserve">Spatial Footprint: distance-decayed weight profile. The Gaussian kernel</w:t>
      </w:r>
      <w:r>
        <w:t xml:space="preserve"> </w:t>
      </w:r>
      <m:oMath>
        <m:r>
          <m:t>w</m:t>
        </m:r>
        <m:r>
          <m:rPr>
            <m:sty m:val="p"/>
          </m:rPr>
          <m:t>=</m:t>
        </m:r>
        <m:r>
          <m:rPr>
            <m:sty m:val="p"/>
          </m:rPr>
          <m:t>exp</m:t>
        </m:r>
        <m:r>
          <m:rPr>
            <m:sty m:val="p"/>
          </m:rPr>
          <m:t>(</m:t>
        </m:r>
        <m:r>
          <m:rPr>
            <m:sty m:val="p"/>
          </m:rPr>
          <m:t>−</m:t>
        </m:r>
        <m:sSup>
          <m:e>
            <m:r>
              <m:t>r</m:t>
            </m:r>
          </m:e>
          <m:sup>
            <m:r>
              <m:t>2</m:t>
            </m:r>
          </m:sup>
        </m:sSup>
        <m:r>
          <m:rPr>
            <m:sty m:val="p"/>
          </m:rPr>
          <m:t>/</m:t>
        </m:r>
        <m:r>
          <m:t>2</m:t>
        </m:r>
        <m:sSubSup>
          <m:e>
            <m:r>
              <m:t>σ</m:t>
            </m:r>
          </m:e>
          <m:sub>
            <m:r>
              <m:t>f</m:t>
            </m:r>
          </m:sub>
          <m:sup>
            <m:r>
              <m:t>2</m:t>
            </m:r>
          </m:sup>
        </m:sSubSup>
        <m:r>
          <m:rPr>
            <m:sty m:val="p"/>
          </m:rPr>
          <m:t>)</m:t>
        </m:r>
      </m:oMath>
      <w:r>
        <w:t xml:space="preserve"> </w:t>
      </w:r>
      <w:r>
        <w:t xml:space="preserve">with</w:t>
      </w:r>
      <w:r>
        <w:t xml:space="preserve"> </w:t>
      </w:r>
      <m:oMath>
        <m:sSub>
          <m:e>
            <m:r>
              <m:t>σ</m:t>
            </m:r>
          </m:e>
          <m:sub>
            <m:r>
              <m:t>f</m:t>
            </m:r>
          </m:sub>
        </m:sSub>
        <m:r>
          <m:rPr>
            <m:sty m:val="p"/>
          </m:rPr>
          <m:t>=</m:t>
        </m:r>
        <m:r>
          <m:t>3.0</m:t>
        </m:r>
      </m:oMath>
      <w:r>
        <w:t xml:space="preserve"> </w:t>
      </w:r>
      <w:r>
        <w:t xml:space="preserve">m provides smooth weight decay. The hard cutoff at</w:t>
      </w:r>
      <w:r>
        <w:t xml:space="preserve"> </w:t>
      </w:r>
      <m:oMath>
        <m:sSub>
          <m:e>
            <m:r>
              <m:t>R</m:t>
            </m:r>
          </m:e>
          <m:sub>
            <m:r>
              <m:t>f</m:t>
            </m:r>
          </m:sub>
        </m:sSub>
        <m:r>
          <m:rPr>
            <m:sty m:val="p"/>
          </m:rPr>
          <m:t>=</m:t>
        </m:r>
        <m:r>
          <m:t>5.0</m:t>
        </m:r>
      </m:oMath>
      <w:r>
        <w:t xml:space="preserve"> </w:t>
      </w:r>
      <w:r>
        <w:t xml:space="preserve">m bounds the number of cells updated per reading.</w:t>
      </w:r>
    </w:p>
    <w:bookmarkEnd w:id="30"/>
    <w:bookmarkStart w:id="31" w:name="footprint-cell-count"/>
    <w:p>
      <w:pPr>
        <w:pStyle w:val="Heading2"/>
      </w:pPr>
      <w:r>
        <w:rPr>
          <w:rStyle w:val="SectionNumber"/>
        </w:rPr>
        <w:t xml:space="preserve">5.4</w:t>
      </w:r>
      <w:r>
        <w:tab/>
      </w:r>
      <w:r>
        <w:t xml:space="preserve">Footprint Cell Count</w:t>
      </w:r>
    </w:p>
    <w:p>
      <w:pPr>
        <w:pStyle w:val="FirstParagraph"/>
      </w:pPr>
      <w:r>
        <w:t xml:space="preserve">For a square grid at resolution</w:t>
      </w:r>
      <w:r>
        <w:t xml:space="preserve"> </w:t>
      </w:r>
      <m:oMath>
        <m:r>
          <m:t>δ</m:t>
        </m:r>
      </m:oMath>
      <w:r>
        <w:t xml:space="preserve"> </w:t>
      </w:r>
      <w:r>
        <w:t xml:space="preserve">and footprint radius</w:t>
      </w:r>
      <w:r>
        <w:t xml:space="preserve"> </w:t>
      </w:r>
      <m:oMath>
        <m:sSub>
          <m:e>
            <m:r>
              <m:t>R</m:t>
            </m:r>
          </m:e>
          <m:sub>
            <m:r>
              <m:t>f</m:t>
            </m:r>
          </m:sub>
        </m:sSub>
      </m:oMath>
      <w:r>
        <w:t xml:space="preserve">, the maximum number of cells within the footprint is bounded by the area of the enclosing square divided by the cell area:</w:t>
      </w:r>
    </w:p>
    <w:p>
      <w:pPr>
        <w:pStyle w:val="BodyText"/>
      </w:pPr>
      <m:oMathPara>
        <m:oMathParaPr>
          <m:jc m:val="center"/>
        </m:oMathParaPr>
        <m:oMath>
          <m:sSub>
            <m:e>
              <m:r>
                <m:t>N</m:t>
              </m:r>
            </m:e>
            <m:sub>
              <m:r>
                <m:t>f</m:t>
              </m:r>
            </m:sub>
          </m:sSub>
          <m:r>
            <m:rPr>
              <m:sty m:val="p"/>
            </m:rPr>
            <m:t>≤</m:t>
          </m:r>
          <m:sSup>
            <m:e>
              <m:d>
                <m:dPr>
                  <m:begChr m:val="⌈"/>
                  <m:sepChr m:val=""/>
                  <m:endChr m:val="⌉"/>
                  <m:grow/>
                </m:dPr>
                <m:e>
                  <m:f>
                    <m:fPr>
                      <m:type m:val="bar"/>
                    </m:fPr>
                    <m:num>
                      <m:r>
                        <m:t>2</m:t>
                      </m:r>
                      <m:sSub>
                        <m:e>
                          <m:r>
                            <m:t>R</m:t>
                          </m:r>
                        </m:e>
                        <m:sub>
                          <m:r>
                            <m:t>f</m:t>
                          </m:r>
                        </m:sub>
                      </m:sSub>
                    </m:num>
                    <m:den>
                      <m:r>
                        <m:t>δ</m:t>
                      </m:r>
                    </m:den>
                  </m:f>
                  <m:r>
                    <m:rPr>
                      <m:sty m:val="p"/>
                    </m:rPr>
                    <m:t>+</m:t>
                  </m:r>
                  <m:r>
                    <m:t>1</m:t>
                  </m:r>
                </m:e>
              </m:d>
            </m:e>
            <m:sup>
              <m:r>
                <m:t>2</m:t>
              </m:r>
            </m:sup>
          </m:sSup>
        </m:oMath>
      </m:oMathPara>
    </w:p>
    <w:p>
      <w:pPr>
        <w:pStyle w:val="FirstParagraph"/>
      </w:pPr>
      <w:r>
        <w:t xml:space="preserve">With</w:t>
      </w:r>
      <w:r>
        <w:t xml:space="preserve"> </w:t>
      </w:r>
      <m:oMath>
        <m:sSub>
          <m:e>
            <m:r>
              <m:t>R</m:t>
            </m:r>
          </m:e>
          <m:sub>
            <m:r>
              <m:t>f</m:t>
            </m:r>
          </m:sub>
        </m:sSub>
        <m:r>
          <m:rPr>
            <m:sty m:val="p"/>
          </m:rPr>
          <m:t>=</m:t>
        </m:r>
        <m:r>
          <m:t>5.0</m:t>
        </m:r>
      </m:oMath>
      <w:r>
        <w:t xml:space="preserve"> </w:t>
      </w:r>
      <w:r>
        <w:t xml:space="preserve">m and</w:t>
      </w:r>
      <w:r>
        <w:t xml:space="preserve"> </w:t>
      </w:r>
      <m:oMath>
        <m:r>
          <m:t>δ</m:t>
        </m:r>
        <m:r>
          <m:rPr>
            <m:sty m:val="p"/>
          </m:rPr>
          <m:t>=</m:t>
        </m:r>
        <m:r>
          <m:t>1.0</m:t>
        </m:r>
      </m:oMath>
      <w:r>
        <w:t xml:space="preserve"> </w:t>
      </w:r>
      <w:r>
        <w:t xml:space="preserve">m, this yields</w:t>
      </w:r>
      <w:r>
        <w:t xml:space="preserve"> </w:t>
      </w:r>
      <m:oMath>
        <m:sSub>
          <m:e>
            <m:r>
              <m:t>N</m:t>
            </m:r>
          </m:e>
          <m:sub>
            <m:r>
              <m:t>f</m:t>
            </m:r>
          </m:sub>
        </m:sSub>
        <m:r>
          <m:rPr>
            <m:sty m:val="p"/>
          </m:rPr>
          <m:t>≤</m:t>
        </m:r>
        <m:sSup>
          <m:e>
            <m:r>
              <m:t>11</m:t>
            </m:r>
          </m:e>
          <m:sup>
            <m:r>
              <m:t>2</m:t>
            </m:r>
          </m:sup>
        </m:sSup>
        <m:r>
          <m:rPr>
            <m:sty m:val="p"/>
          </m:rPr>
          <m:t>=</m:t>
        </m:r>
        <m:r>
          <m:t>121</m:t>
        </m:r>
      </m:oMath>
      <w:r>
        <w:t xml:space="preserve"> </w:t>
      </w:r>
      <w:r>
        <w:t xml:space="preserve">cells. After filtering to the circular footprint (</w:t>
      </w:r>
      <m:oMath>
        <m:r>
          <m:t>r</m:t>
        </m:r>
        <m:r>
          <m:rPr>
            <m:sty m:val="p"/>
          </m:rPr>
          <m:t>≤</m:t>
        </m:r>
        <m:sSub>
          <m:e>
            <m:r>
              <m:t>R</m:t>
            </m:r>
          </m:e>
          <m:sub>
            <m:r>
              <m:t>f</m:t>
            </m:r>
          </m:sub>
        </m:sSub>
      </m:oMath>
      <w:r>
        <w:t xml:space="preserve">), approximately</w:t>
      </w:r>
      <w:r>
        <w:t xml:space="preserve"> </w:t>
      </w:r>
      <m:oMath>
        <m:r>
          <m:t>π</m:t>
        </m:r>
        <m:sSubSup>
          <m:e>
            <m:r>
              <m:t>R</m:t>
            </m:r>
          </m:e>
          <m:sub>
            <m:r>
              <m:t>f</m:t>
            </m:r>
          </m:sub>
          <m:sup>
            <m:r>
              <m:t>2</m:t>
            </m:r>
          </m:sup>
        </m:sSubSup>
        <m:r>
          <m:rPr>
            <m:sty m:val="p"/>
          </m:rPr>
          <m:t>/</m:t>
        </m:r>
        <m:sSup>
          <m:e>
            <m:r>
              <m:t>δ</m:t>
            </m:r>
          </m:e>
          <m:sup>
            <m:r>
              <m:t>2</m:t>
            </m:r>
          </m:sup>
        </m:sSup>
        <m:r>
          <m:rPr>
            <m:sty m:val="p"/>
          </m:rPr>
          <m:t>≈</m:t>
        </m:r>
        <m:r>
          <m:t>79</m:t>
        </m:r>
      </m:oMath>
      <w:r>
        <w:t xml:space="preserve"> </w:t>
      </w:r>
      <w:r>
        <w:t xml:space="preserve">cells are updated per reading. This count is independent of the total observation history.</w:t>
      </w:r>
    </w:p>
    <w:bookmarkEnd w:id="31"/>
    <w:bookmarkEnd w:id="32"/>
    <w:bookmarkStart w:id="37" w:name="grid-coordinate-system"/>
    <w:p>
      <w:pPr>
        <w:pStyle w:val="Heading1"/>
      </w:pPr>
      <w:r>
        <w:rPr>
          <w:rStyle w:val="SectionNumber"/>
        </w:rPr>
        <w:t xml:space="preserve">6</w:t>
      </w:r>
      <w:r>
        <w:tab/>
      </w:r>
      <w:r>
        <w:t xml:space="preserve">Grid Coordinate System</w:t>
      </w:r>
    </w:p>
    <w:p>
      <w:pPr>
        <w:pStyle w:val="FirstParagraph"/>
      </w:pPr>
      <w:r>
        <w:t xml:space="preserve">The</w:t>
      </w:r>
      <w:r>
        <w:t xml:space="preserve"> </w:t>
      </w:r>
      <w:r>
        <w:rPr>
          <w:rStyle w:val="VerbatimChar"/>
        </w:rPr>
        <w:t xml:space="preserve">ResourceMap</w:t>
      </w:r>
      <w:r>
        <w:t xml:space="preserve"> </w:t>
      </w:r>
      <w:r>
        <w:t xml:space="preserve">maintains a two-dimensional grid with an explicit coordinate transformation between world (metric) and grid (index) spaces.</w:t>
      </w:r>
    </w:p>
    <w:bookmarkStart w:id="33" w:name="parameters"/>
    <w:p>
      <w:pPr>
        <w:pStyle w:val="Heading2"/>
      </w:pPr>
      <w:r>
        <w:rPr>
          <w:rStyle w:val="SectionNumber"/>
        </w:rPr>
        <w:t xml:space="preserve">6.1</w:t>
      </w:r>
      <w:r>
        <w:tab/>
      </w:r>
      <w: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Default Value</w:t>
            </w:r>
          </w:p>
        </w:tc>
      </w:tr>
      <w:tr>
        <w:tc>
          <w:tcPr/>
          <w:p>
            <w:pPr>
              <w:pStyle w:val="Compact"/>
            </w:pPr>
            <w:r>
              <w:t xml:space="preserve">Grid width</w:t>
            </w:r>
          </w:p>
        </w:tc>
        <w:tc>
          <w:tcPr/>
          <w:p>
            <w:pPr>
              <w:pStyle w:val="Compact"/>
            </w:pPr>
            <m:oMath>
              <m:r>
                <m:t>W</m:t>
              </m:r>
            </m:oMath>
          </w:p>
        </w:tc>
        <w:tc>
          <w:tcPr/>
          <w:p>
            <w:pPr>
              <w:pStyle w:val="Compact"/>
            </w:pPr>
            <w:r>
              <w:t xml:space="preserve">500 cells</w:t>
            </w:r>
          </w:p>
        </w:tc>
      </w:tr>
      <w:tr>
        <w:tc>
          <w:tcPr/>
          <w:p>
            <w:pPr>
              <w:pStyle w:val="Compact"/>
            </w:pPr>
            <w:r>
              <w:t xml:space="preserve">Grid height</w:t>
            </w:r>
          </w:p>
        </w:tc>
        <w:tc>
          <w:tcPr/>
          <w:p>
            <w:pPr>
              <w:pStyle w:val="Compact"/>
            </w:pPr>
            <m:oMath>
              <m:r>
                <m:t>H</m:t>
              </m:r>
            </m:oMath>
          </w:p>
        </w:tc>
        <w:tc>
          <w:tcPr/>
          <w:p>
            <w:pPr>
              <w:pStyle w:val="Compact"/>
            </w:pPr>
            <w:r>
              <w:t xml:space="preserve">500 cells</w:t>
            </w:r>
          </w:p>
        </w:tc>
      </w:tr>
      <w:tr>
        <w:tc>
          <w:tcPr/>
          <w:p>
            <w:pPr>
              <w:pStyle w:val="Compact"/>
            </w:pPr>
            <w:r>
              <w:t xml:space="preserve">Resolution</w:t>
            </w:r>
          </w:p>
        </w:tc>
        <w:tc>
          <w:tcPr/>
          <w:p>
            <w:pPr>
              <w:pStyle w:val="Compact"/>
            </w:pPr>
            <m:oMath>
              <m:r>
                <m:t>δ</m:t>
              </m:r>
            </m:oMath>
          </w:p>
        </w:tc>
        <w:tc>
          <w:tcPr/>
          <w:p>
            <w:pPr>
              <w:pStyle w:val="Compact"/>
            </w:pPr>
            <w:r>
              <w:t xml:space="preserve">1.0 m/cell</w:t>
            </w:r>
          </w:p>
        </w:tc>
      </w:tr>
      <w:tr>
        <w:tc>
          <w:tcPr/>
          <w:p>
            <w:pPr>
              <w:pStyle w:val="Compact"/>
            </w:pPr>
            <w:r>
              <w:t xml:space="preserve">Origin X</w:t>
            </w:r>
          </w:p>
        </w:tc>
        <w:tc>
          <w:tcPr/>
          <w:p>
            <w:pPr>
              <w:pStyle w:val="Compact"/>
            </w:pPr>
            <m:oMath>
              <m:sSub>
                <m:e>
                  <m:r>
                    <m:t>o</m:t>
                  </m:r>
                </m:e>
                <m:sub>
                  <m:r>
                    <m:t>x</m:t>
                  </m:r>
                </m:sub>
              </m:sSub>
            </m:oMath>
          </w:p>
        </w:tc>
        <w:tc>
          <w:tcPr/>
          <w:p>
            <w:pPr>
              <w:pStyle w:val="Compact"/>
            </w:pPr>
            <m:oMath>
              <m:r>
                <m:rPr>
                  <m:sty m:val="p"/>
                </m:rPr>
                <m:t>−</m:t>
              </m:r>
              <m:r>
                <m:t>250.0</m:t>
              </m:r>
            </m:oMath>
            <w:r>
              <w:t xml:space="preserve"> </w:t>
            </w:r>
            <w:r>
              <w:t xml:space="preserve">m</w:t>
            </w:r>
          </w:p>
        </w:tc>
      </w:tr>
      <w:tr>
        <w:tc>
          <w:tcPr/>
          <w:p>
            <w:pPr>
              <w:pStyle w:val="Compact"/>
            </w:pPr>
            <w:r>
              <w:t xml:space="preserve">Origin Y</w:t>
            </w:r>
          </w:p>
        </w:tc>
        <w:tc>
          <w:tcPr/>
          <w:p>
            <w:pPr>
              <w:pStyle w:val="Compact"/>
            </w:pPr>
            <m:oMath>
              <m:sSub>
                <m:e>
                  <m:r>
                    <m:t>o</m:t>
                  </m:r>
                </m:e>
                <m:sub>
                  <m:r>
                    <m:t>y</m:t>
                  </m:r>
                </m:sub>
              </m:sSub>
            </m:oMath>
          </w:p>
        </w:tc>
        <w:tc>
          <w:tcPr/>
          <w:p>
            <w:pPr>
              <w:pStyle w:val="Compact"/>
            </w:pPr>
            <m:oMath>
              <m:r>
                <m:rPr>
                  <m:sty m:val="p"/>
                </m:rPr>
                <m:t>−</m:t>
              </m:r>
              <m:r>
                <m:t>250.0</m:t>
              </m:r>
            </m:oMath>
            <w:r>
              <w:t xml:space="preserve"> </w:t>
            </w:r>
            <w:r>
              <w:t xml:space="preserve">m</w:t>
            </w:r>
          </w:p>
        </w:tc>
      </w:tr>
    </w:tbl>
    <w:bookmarkEnd w:id="33"/>
    <w:bookmarkStart w:id="34" w:name="world-to-grid-transformation"/>
    <w:p>
      <w:pPr>
        <w:pStyle w:val="Heading2"/>
      </w:pPr>
      <w:r>
        <w:rPr>
          <w:rStyle w:val="SectionNumber"/>
        </w:rPr>
        <w:t xml:space="preserve">6.2</w:t>
      </w:r>
      <w:r>
        <w:tab/>
      </w:r>
      <w:r>
        <w:t xml:space="preserve">World-to-Grid Transformation</w:t>
      </w:r>
    </w:p>
    <w:p>
      <w:pPr>
        <w:pStyle w:val="FirstParagraph"/>
      </w:pPr>
      <w:r>
        <w:t xml:space="preserve">Given world coordinates</w:t>
      </w:r>
      <w:r>
        <w:t xml:space="preserve"> </w:t>
      </w:r>
      <m:oMath>
        <m:r>
          <m:rPr>
            <m:sty m:val="p"/>
          </m:rPr>
          <m:t>(</m:t>
        </m:r>
        <m:r>
          <m:t>x</m:t>
        </m:r>
        <m:r>
          <m:rPr>
            <m:sty m:val="p"/>
          </m:rPr>
          <m:t>,</m:t>
        </m:r>
        <m:r>
          <m:t>y</m:t>
        </m:r>
        <m:r>
          <m:rPr>
            <m:sty m:val="p"/>
          </m:rPr>
          <m:t>)</m:t>
        </m:r>
      </m:oMath>
      <w:r>
        <w:t xml:space="preserve">, the grid indices are:</w:t>
      </w:r>
    </w:p>
    <w:p>
      <w:pPr>
        <w:pStyle w:val="BodyText"/>
      </w:pPr>
      <m:oMathPara>
        <m:oMathParaPr>
          <m:jc m:val="center"/>
        </m:oMathParaPr>
        <m:oMath>
          <m:sSub>
            <m:e>
              <m:r>
                <m:t>g</m:t>
              </m:r>
            </m:e>
            <m:sub>
              <m:r>
                <m:t>x</m:t>
              </m:r>
            </m:sub>
          </m:sSub>
          <m:r>
            <m:rPr>
              <m:sty m:val="p"/>
            </m:rPr>
            <m:t>=</m:t>
          </m:r>
          <m:d>
            <m:dPr>
              <m:begChr m:val="⌊"/>
              <m:sepChr m:val=""/>
              <m:endChr m:val="⌋"/>
              <m:grow/>
            </m:dPr>
            <m:e>
              <m:f>
                <m:fPr>
                  <m:type m:val="bar"/>
                </m:fPr>
                <m:num>
                  <m:r>
                    <m:t>x</m:t>
                  </m:r>
                  <m:r>
                    <m:rPr>
                      <m:sty m:val="p"/>
                    </m:rPr>
                    <m:t>−</m:t>
                  </m:r>
                  <m:sSub>
                    <m:e>
                      <m:r>
                        <m:t>o</m:t>
                      </m:r>
                    </m:e>
                    <m:sub>
                      <m:r>
                        <m:t>x</m:t>
                      </m:r>
                    </m:sub>
                  </m:sSub>
                </m:num>
                <m:den>
                  <m:r>
                    <m:t>δ</m:t>
                  </m:r>
                </m:den>
              </m:f>
            </m:e>
          </m:d>
          <m:r>
            <m:rPr>
              <m:sty m:val="p"/>
            </m:rPr>
            <m:t>,</m:t>
          </m:r>
          <m:r>
            <m:t>  </m:t>
          </m:r>
          <m:sSub>
            <m:e>
              <m:r>
                <m:t>g</m:t>
              </m:r>
            </m:e>
            <m:sub>
              <m:r>
                <m:t>y</m:t>
              </m:r>
            </m:sub>
          </m:sSub>
          <m:r>
            <m:rPr>
              <m:sty m:val="p"/>
            </m:rPr>
            <m:t>=</m:t>
          </m:r>
          <m:d>
            <m:dPr>
              <m:begChr m:val="⌊"/>
              <m:sepChr m:val=""/>
              <m:endChr m:val="⌋"/>
              <m:grow/>
            </m:dPr>
            <m:e>
              <m:f>
                <m:fPr>
                  <m:type m:val="bar"/>
                </m:fPr>
                <m:num>
                  <m:r>
                    <m:t>y</m:t>
                  </m:r>
                  <m:r>
                    <m:rPr>
                      <m:sty m:val="p"/>
                    </m:rPr>
                    <m:t>−</m:t>
                  </m:r>
                  <m:sSub>
                    <m:e>
                      <m:r>
                        <m:t>o</m:t>
                      </m:r>
                    </m:e>
                    <m:sub>
                      <m:r>
                        <m:t>y</m:t>
                      </m:r>
                    </m:sub>
                  </m:sSub>
                </m:num>
                <m:den>
                  <m:r>
                    <m:t>δ</m:t>
                  </m:r>
                </m:den>
              </m:f>
            </m:e>
          </m:d>
        </m:oMath>
      </m:oMathPara>
    </w:p>
    <w:bookmarkEnd w:id="34"/>
    <w:bookmarkStart w:id="35" w:name="grid-to-world-transformation"/>
    <w:p>
      <w:pPr>
        <w:pStyle w:val="Heading2"/>
      </w:pPr>
      <w:r>
        <w:rPr>
          <w:rStyle w:val="SectionNumber"/>
        </w:rPr>
        <w:t xml:space="preserve">6.3</w:t>
      </w:r>
      <w:r>
        <w:tab/>
      </w:r>
      <w:r>
        <w:t xml:space="preserve">Grid-to-World Transformation</w:t>
      </w:r>
    </w:p>
    <w:p>
      <w:pPr>
        <w:pStyle w:val="FirstParagraph"/>
      </w:pPr>
      <w:r>
        <w:t xml:space="preserve">Given grid indices</w:t>
      </w:r>
      <w:r>
        <w:t xml:space="preserve"> </w:t>
      </w:r>
      <m:oMath>
        <m:r>
          <m:rPr>
            <m:sty m:val="p"/>
          </m:rPr>
          <m:t>(</m:t>
        </m:r>
        <m:sSub>
          <m:e>
            <m:r>
              <m:t>g</m:t>
            </m:r>
          </m:e>
          <m:sub>
            <m:r>
              <m:t>x</m:t>
            </m:r>
          </m:sub>
        </m:sSub>
        <m:r>
          <m:rPr>
            <m:sty m:val="p"/>
          </m:rPr>
          <m:t>,</m:t>
        </m:r>
        <m:sSub>
          <m:e>
            <m:r>
              <m:t>g</m:t>
            </m:r>
          </m:e>
          <m:sub>
            <m:r>
              <m:t>y</m:t>
            </m:r>
          </m:sub>
        </m:sSub>
        <m:r>
          <m:rPr>
            <m:sty m:val="p"/>
          </m:rPr>
          <m:t>)</m:t>
        </m:r>
      </m:oMath>
      <w:r>
        <w:t xml:space="preserve">, the world coordinates of the cell center are:</w:t>
      </w:r>
    </w:p>
    <w:p>
      <w:pPr>
        <w:pStyle w:val="BodyText"/>
      </w:pPr>
      <m:oMathPara>
        <m:oMathParaPr>
          <m:jc m:val="center"/>
        </m:oMathParaPr>
        <m:oMath>
          <m:sSub>
            <m:e>
              <m:r>
                <m:t>x</m:t>
              </m:r>
            </m:e>
            <m:sub>
              <m:r>
                <m:t>w</m:t>
              </m:r>
            </m:sub>
          </m:sSub>
          <m:r>
            <m:rPr>
              <m:sty m:val="p"/>
            </m:rPr>
            <m:t>=</m:t>
          </m:r>
          <m:sSub>
            <m:e>
              <m:r>
                <m:t>g</m:t>
              </m:r>
            </m:e>
            <m:sub>
              <m:r>
                <m:t>x</m:t>
              </m:r>
            </m:sub>
          </m:sSub>
          <m:r>
            <m:rPr>
              <m:sty m:val="p"/>
            </m:rPr>
            <m:t>⋅</m:t>
          </m:r>
          <m:r>
            <m:t>δ</m:t>
          </m:r>
          <m:r>
            <m:rPr>
              <m:sty m:val="p"/>
            </m:rPr>
            <m:t>+</m:t>
          </m:r>
          <m:sSub>
            <m:e>
              <m:r>
                <m:t>o</m:t>
              </m:r>
            </m:e>
            <m:sub>
              <m:r>
                <m:t>x</m:t>
              </m:r>
            </m:sub>
          </m:sSub>
          <m:r>
            <m:rPr>
              <m:sty m:val="p"/>
            </m:rPr>
            <m:t>+</m:t>
          </m:r>
          <m:f>
            <m:fPr>
              <m:type m:val="bar"/>
            </m:fPr>
            <m:num>
              <m:r>
                <m:t>δ</m:t>
              </m:r>
            </m:num>
            <m:den>
              <m:r>
                <m:t>2</m:t>
              </m:r>
            </m:den>
          </m:f>
          <m:r>
            <m:rPr>
              <m:sty m:val="p"/>
            </m:rPr>
            <m:t>,</m:t>
          </m:r>
          <m:r>
            <m:t>  </m:t>
          </m:r>
          <m:sSub>
            <m:e>
              <m:r>
                <m:t>y</m:t>
              </m:r>
            </m:e>
            <m:sub>
              <m:r>
                <m:t>w</m:t>
              </m:r>
            </m:sub>
          </m:sSub>
          <m:r>
            <m:rPr>
              <m:sty m:val="p"/>
            </m:rPr>
            <m:t>=</m:t>
          </m:r>
          <m:sSub>
            <m:e>
              <m:r>
                <m:t>g</m:t>
              </m:r>
            </m:e>
            <m:sub>
              <m:r>
                <m:t>y</m:t>
              </m:r>
            </m:sub>
          </m:sSub>
          <m:r>
            <m:rPr>
              <m:sty m:val="p"/>
            </m:rPr>
            <m:t>⋅</m:t>
          </m:r>
          <m:r>
            <m:t>δ</m:t>
          </m:r>
          <m:r>
            <m:rPr>
              <m:sty m:val="p"/>
            </m:rPr>
            <m:t>+</m:t>
          </m:r>
          <m:sSub>
            <m:e>
              <m:r>
                <m:t>o</m:t>
              </m:r>
            </m:e>
            <m:sub>
              <m:r>
                <m:t>y</m:t>
              </m:r>
            </m:sub>
          </m:sSub>
          <m:r>
            <m:rPr>
              <m:sty m:val="p"/>
            </m:rPr>
            <m:t>+</m:t>
          </m:r>
          <m:f>
            <m:fPr>
              <m:type m:val="bar"/>
            </m:fPr>
            <m:num>
              <m:r>
                <m:t>δ</m:t>
              </m:r>
            </m:num>
            <m:den>
              <m:r>
                <m:t>2</m:t>
              </m:r>
            </m:den>
          </m:f>
        </m:oMath>
      </m:oMathPara>
    </w:p>
    <w:p>
      <w:pPr>
        <w:pStyle w:val="FirstParagraph"/>
      </w:pPr>
      <w:r>
        <w:t xml:space="preserve">The</w:t>
      </w:r>
      <w:r>
        <w:t xml:space="preserve"> </w:t>
      </w:r>
      <m:oMath>
        <m:r>
          <m:t>δ</m:t>
        </m:r>
        <m:r>
          <m:rPr>
            <m:sty m:val="p"/>
          </m:rPr>
          <m:t>/</m:t>
        </m:r>
        <m:r>
          <m:t>2</m:t>
        </m:r>
      </m:oMath>
      <w:r>
        <w:t xml:space="preserve"> </w:t>
      </w:r>
      <w:r>
        <w:t xml:space="preserve">offset ensures that the returned position is the geometric center of the cell rather than its corner. This convention is critical for accurate distance computation in the footprint model: using cell corners would introduce a systematic</w:t>
      </w:r>
      <w:r>
        <w:t xml:space="preserve"> </w:t>
      </w:r>
      <m:oMath>
        <m:r>
          <m:t>δ</m:t>
        </m:r>
        <m:rad>
          <m:radPr>
            <m:degHide m:val="on"/>
          </m:radPr>
          <m:deg/>
          <m:e>
            <m:r>
              <m:t>2</m:t>
            </m:r>
          </m:e>
        </m:rad>
        <m:r>
          <m:rPr>
            <m:sty m:val="p"/>
          </m:rPr>
          <m:t>/</m:t>
        </m:r>
        <m:r>
          <m:t>2</m:t>
        </m:r>
        <m:r>
          <m:rPr>
            <m:sty m:val="p"/>
          </m:rPr>
          <m:t>≈</m:t>
        </m:r>
        <m:r>
          <m:t>0.71</m:t>
        </m:r>
      </m:oMath>
      <w:r>
        <w:t xml:space="preserve"> </w:t>
      </w:r>
      <w:r>
        <w:t xml:space="preserve">m bias in the worst case.</w:t>
      </w:r>
    </w:p>
    <w:bookmarkEnd w:id="35"/>
    <w:bookmarkStart w:id="36" w:name="coverage"/>
    <w:p>
      <w:pPr>
        <w:pStyle w:val="Heading2"/>
      </w:pPr>
      <w:r>
        <w:rPr>
          <w:rStyle w:val="SectionNumber"/>
        </w:rPr>
        <w:t xml:space="preserve">6.4</w:t>
      </w:r>
      <w:r>
        <w:tab/>
      </w:r>
      <w:r>
        <w:t xml:space="preserve">Coverage</w:t>
      </w:r>
    </w:p>
    <w:p>
      <w:pPr>
        <w:pStyle w:val="FirstParagraph"/>
      </w:pPr>
      <w:r>
        <w:t xml:space="preserve">With the default parameters, the grid covers the spatial domain</w:t>
      </w:r>
      <w:r>
        <w:t xml:space="preserve"> </w:t>
      </w:r>
      <m:oMath>
        <m:r>
          <m:rPr>
            <m:sty m:val="p"/>
          </m:rPr>
          <m:t>[</m:t>
        </m:r>
        <m:r>
          <m:rPr>
            <m:sty m:val="p"/>
          </m:rPr>
          <m:t>−</m:t>
        </m:r>
        <m:r>
          <m:t>250</m:t>
        </m:r>
        <m:r>
          <m:rPr>
            <m:sty m:val="p"/>
          </m:rPr>
          <m:t>,</m:t>
        </m:r>
        <m:r>
          <m:t>250</m:t>
        </m:r>
        <m:r>
          <m:rPr>
            <m:sty m:val="p"/>
          </m:rPr>
          <m:t>)</m:t>
        </m:r>
        <m:r>
          <m:rPr>
            <m:sty m:val="p"/>
          </m:rPr>
          <m:t>×</m:t>
        </m:r>
        <m:r>
          <m:rPr>
            <m:sty m:val="p"/>
          </m:rPr>
          <m:t>[</m:t>
        </m:r>
        <m:r>
          <m:rPr>
            <m:sty m:val="p"/>
          </m:rPr>
          <m:t>−</m:t>
        </m:r>
        <m:r>
          <m:t>250</m:t>
        </m:r>
        <m:r>
          <m:rPr>
            <m:sty m:val="p"/>
          </m:rPr>
          <m:t>,</m:t>
        </m:r>
        <m:r>
          <m:t>250</m:t>
        </m:r>
        <m:r>
          <m:rPr>
            <m:sty m:val="p"/>
          </m:rPr>
          <m:t>)</m:t>
        </m:r>
      </m:oMath>
      <w:r>
        <w:t xml:space="preserve"> </w:t>
      </w:r>
      <w:r>
        <w:t xml:space="preserve">meters – a</w:t>
      </w:r>
      <w:r>
        <w:t xml:space="preserve"> </w:t>
      </w:r>
      <m:oMath>
        <m:r>
          <m:t>500</m:t>
        </m:r>
        <m:r>
          <m:rPr>
            <m:sty m:val="p"/>
          </m:rPr>
          <m:t>×</m:t>
        </m:r>
        <m:r>
          <m:t>500</m:t>
        </m:r>
      </m:oMath>
      <w:r>
        <w:t xml:space="preserve"> </w:t>
      </w:r>
      <w:r>
        <w:t xml:space="preserve">m area centered on the world origin. This is sufficient to encompass the PSR survey zones modeled in SELENE’s Sprint 0 prototype.</w:t>
      </w:r>
    </w:p>
    <w:bookmarkEnd w:id="36"/>
    <w:bookmarkEnd w:id="37"/>
    <w:bookmarkStart w:id="40" w:name="Xe65409bb75674a0999c961b885a95a09c36335d"/>
    <w:p>
      <w:pPr>
        <w:pStyle w:val="Heading1"/>
      </w:pPr>
      <w:r>
        <w:rPr>
          <w:rStyle w:val="SectionNumber"/>
        </w:rPr>
        <w:t xml:space="preserve">7</w:t>
      </w:r>
      <w:r>
        <w:tab/>
      </w:r>
      <w:r>
        <w:t xml:space="preserve">Integration with Adaptive Survey and HTN Planning</w:t>
      </w:r>
    </w:p>
    <w:p>
      <w:pPr>
        <w:pStyle w:val="FirstParagraph"/>
      </w:pPr>
      <w:r>
        <w:t xml:space="preserve">The resource map is not an isolated data structure; it is the central shared state that drives two upstream planning algorithms.</w:t>
      </w:r>
    </w:p>
    <w:bookmarkStart w:id="38" w:name="adaptive-survey-planner"/>
    <w:p>
      <w:pPr>
        <w:pStyle w:val="Heading2"/>
      </w:pPr>
      <w:r>
        <w:rPr>
          <w:rStyle w:val="SectionNumber"/>
        </w:rPr>
        <w:t xml:space="preserve">7.1</w:t>
      </w:r>
      <w:r>
        <w:tab/>
      </w:r>
      <w:r>
        <w:t xml:space="preserve">Adaptive Survey Planner</w:t>
      </w:r>
    </w:p>
    <w:p>
      <w:pPr>
        <w:pStyle w:val="FirstParagraph"/>
      </w:pPr>
      <w:r>
        <w:t xml:space="preserve">The</w:t>
      </w:r>
      <w:r>
        <w:t xml:space="preserve"> </w:t>
      </w:r>
      <w:r>
        <w:rPr>
          <w:rStyle w:val="VerbatimChar"/>
        </w:rPr>
        <w:t xml:space="preserve">AdaptiveSurveyPlanner</w:t>
      </w:r>
      <w:r>
        <w:t xml:space="preserve"> </w:t>
      </w:r>
      <w:r>
        <w:t xml:space="preserve">(WP-04) selects the next prospecting waypoint by scoring candidate cells on three criteria:</w:t>
      </w:r>
    </w:p>
    <w:p>
      <w:pPr>
        <w:pStyle w:val="BodyText"/>
      </w:pPr>
      <m:oMathPara>
        <m:oMathParaPr>
          <m:jc m:val="center"/>
        </m:oMathParaPr>
        <m:oMath>
          <m:r>
            <m:t>S</m:t>
          </m:r>
          <m:r>
            <m:rPr>
              <m:sty m:val="p"/>
            </m:rPr>
            <m:t>=</m:t>
          </m:r>
          <m:sSub>
            <m:e>
              <m:r>
                <m:t>w</m:t>
              </m:r>
            </m:e>
            <m:sub>
              <m:r>
                <m:t>v</m:t>
              </m:r>
            </m:sub>
          </m:sSub>
          <m:r>
            <m:rPr>
              <m:sty m:val="p"/>
            </m:rPr>
            <m:t>⋅</m:t>
          </m:r>
          <m:sSup>
            <m:e>
              <m:acc>
                <m:accPr>
                  <m:chr m:val="̂"/>
                </m:accPr>
                <m:e>
                  <m:r>
                    <m:t>σ</m:t>
                  </m:r>
                </m:e>
              </m:acc>
            </m:e>
            <m:sup>
              <m:r>
                <m:t>2</m:t>
              </m:r>
            </m:sup>
          </m:sSup>
          <m:r>
            <m:rPr>
              <m:sty m:val="p"/>
            </m:rPr>
            <m:t>+</m:t>
          </m:r>
          <m:sSub>
            <m:e>
              <m:r>
                <m:t>w</m:t>
              </m:r>
            </m:e>
            <m:sub>
              <m:r>
                <m:t>s</m:t>
              </m:r>
            </m:sub>
          </m:sSub>
          <m:r>
            <m:rPr>
              <m:sty m:val="p"/>
            </m:rPr>
            <m:t>⋅</m:t>
          </m:r>
          <m:acc>
            <m:accPr>
              <m:chr m:val="̂"/>
            </m:accPr>
            <m:e>
              <m:r>
                <m:t>N</m:t>
              </m:r>
            </m:e>
          </m:acc>
          <m:r>
            <m:rPr>
              <m:sty m:val="p"/>
            </m:rPr>
            <m:t>−</m:t>
          </m:r>
          <m:sSub>
            <m:e>
              <m:r>
                <m:t>w</m:t>
              </m:r>
            </m:e>
            <m:sub>
              <m:r>
                <m:t>d</m:t>
              </m:r>
            </m:sub>
          </m:sSub>
          <m:r>
            <m:rPr>
              <m:sty m:val="p"/>
            </m:rPr>
            <m:t>⋅</m:t>
          </m:r>
          <m:acc>
            <m:accPr>
              <m:chr m:val="̂"/>
            </m:accPr>
            <m:e>
              <m:r>
                <m:t>d</m:t>
              </m:r>
            </m:e>
          </m:acc>
        </m:oMath>
      </m:oMathPara>
    </w:p>
    <w:p>
      <w:pPr>
        <w:pStyle w:val="FirstParagraph"/>
      </w:pPr>
      <w:r>
        <w:t xml:space="preserve">where</w:t>
      </w:r>
      <w:r>
        <w:t xml:space="preserve"> </w:t>
      </w:r>
      <m:oMath>
        <m:sSup>
          <m:e>
            <m:acc>
              <m:accPr>
                <m:chr m:val="̂"/>
              </m:accPr>
              <m:e>
                <m:r>
                  <m:t>σ</m:t>
                </m:r>
              </m:e>
            </m:acc>
          </m:e>
          <m:sup>
            <m:r>
              <m:t>2</m:t>
            </m:r>
          </m:sup>
        </m:sSup>
      </m:oMath>
      <w:r>
        <w:t xml:space="preserve"> </w:t>
      </w:r>
      <w:r>
        <w:t xml:space="preserve">is the normalized posterior variance from the resource map (exploration incentive),</w:t>
      </w:r>
      <w:r>
        <w:t xml:space="preserve"> </w:t>
      </w:r>
      <m:oMath>
        <m:acc>
          <m:accPr>
            <m:chr m:val="̂"/>
          </m:accPr>
          <m:e>
            <m:r>
              <m:t>N</m:t>
            </m:r>
          </m:e>
        </m:acc>
      </m:oMath>
      <w:r>
        <w:t xml:space="preserve"> </w:t>
      </w:r>
      <w:r>
        <w:t xml:space="preserve">is the normalized mean ice concentration of the eight neighboring cells (exploitation incentive), and</w:t>
      </w:r>
      <w:r>
        <w:t xml:space="preserve"> </w:t>
      </w:r>
      <m:oMath>
        <m:acc>
          <m:accPr>
            <m:chr m:val="̂"/>
          </m:accPr>
          <m:e>
            <m:r>
              <m:t>d</m:t>
            </m:r>
          </m:e>
        </m:acc>
      </m:oMath>
      <w:r>
        <w:t xml:space="preserve"> </w:t>
      </w:r>
      <w:r>
        <w:t xml:space="preserve">is the normalized Euclidean distance to the robot (travel cost penalty). The variance term directly queries the resource map’s posterior, creating a feedback loop: as cells are surveyed and their variance decreases, the planner redirects scouts toward unexplored regions.</w:t>
      </w:r>
    </w:p>
    <w:bookmarkEnd w:id="38"/>
    <w:bookmarkStart w:id="39" w:name="htn-planner-site-selection"/>
    <w:p>
      <w:pPr>
        <w:pStyle w:val="Heading2"/>
      </w:pPr>
      <w:r>
        <w:rPr>
          <w:rStyle w:val="SectionNumber"/>
        </w:rPr>
        <w:t xml:space="preserve">7.2</w:t>
      </w:r>
      <w:r>
        <w:tab/>
      </w:r>
      <w:r>
        <w:t xml:space="preserve">HTN Planner Site Selection</w:t>
      </w:r>
    </w:p>
    <w:p>
      <w:pPr>
        <w:pStyle w:val="FirstParagraph"/>
      </w:pPr>
      <w:r>
        <w:t xml:space="preserve">When all survey tasks in a</w:t>
      </w:r>
      <w:r>
        <w:t xml:space="preserve"> </w:t>
      </w:r>
      <w:r>
        <w:rPr>
          <w:rStyle w:val="VerbatimChar"/>
        </w:rPr>
        <w:t xml:space="preserve">CollectIce</w:t>
      </w:r>
      <w:r>
        <w:t xml:space="preserve"> </w:t>
      </w:r>
      <w:r>
        <w:t xml:space="preserve">mission are complete, the HTN planner’s virtual</w:t>
      </w:r>
      <w:r>
        <w:t xml:space="preserve"> </w:t>
      </w:r>
      <w:r>
        <w:rPr>
          <w:rStyle w:val="VerbatimChar"/>
        </w:rPr>
        <w:t xml:space="preserve">SelectSite</w:t>
      </w:r>
      <w:r>
        <w:t xml:space="preserve"> </w:t>
      </w:r>
      <w:r>
        <w:t xml:space="preserve">task resolves by querying the resource map for the optimal extraction location. The scoring function balances estimated concentration against residual uncertainty:</w:t>
      </w:r>
    </w:p>
    <w:p>
      <w:pPr>
        <w:pStyle w:val="BodyText"/>
      </w:pPr>
      <m:oMathPara>
        <m:oMathParaPr>
          <m:jc m:val="center"/>
        </m:oMathParaPr>
        <m:oMath>
          <m:r>
            <m:rPr>
              <m:nor/>
              <m:sty m:val="p"/>
            </m:rPr>
            <m:t>score</m:t>
          </m:r>
          <m:r>
            <m:rPr>
              <m:sty m:val="p"/>
            </m:rPr>
            <m:t>(</m:t>
          </m:r>
          <m:sSub>
            <m:e>
              <m:r>
                <m:t>g</m:t>
              </m:r>
            </m:e>
            <m:sub>
              <m:r>
                <m:t>x</m:t>
              </m:r>
            </m:sub>
          </m:sSub>
          <m:r>
            <m:rPr>
              <m:sty m:val="p"/>
            </m:rPr>
            <m:t>,</m:t>
          </m:r>
          <m:sSub>
            <m:e>
              <m:r>
                <m:t>g</m:t>
              </m:r>
            </m:e>
            <m:sub>
              <m:r>
                <m:t>y</m:t>
              </m:r>
            </m:sub>
          </m:sSub>
          <m:r>
            <m:rPr>
              <m:sty m:val="p"/>
            </m:rPr>
            <m:t>)</m:t>
          </m:r>
          <m:r>
            <m:rPr>
              <m:sty m:val="p"/>
            </m:rPr>
            <m:t>=</m:t>
          </m:r>
          <m:f>
            <m:fPr>
              <m:type m:val="bar"/>
            </m:fPr>
            <m:num>
              <m:sSub>
                <m:e>
                  <m:r>
                    <m:t>μ</m:t>
                  </m:r>
                </m:e>
                <m:sub>
                  <m:sSub>
                    <m:e>
                      <m:r>
                        <m:t>g</m:t>
                      </m:r>
                    </m:e>
                    <m:sub>
                      <m:r>
                        <m:t>x</m:t>
                      </m:r>
                    </m:sub>
                  </m:sSub>
                  <m:r>
                    <m:rPr>
                      <m:sty m:val="p"/>
                    </m:rPr>
                    <m:t>,</m:t>
                  </m:r>
                  <m:sSub>
                    <m:e>
                      <m:r>
                        <m:t>g</m:t>
                      </m:r>
                    </m:e>
                    <m:sub>
                      <m:r>
                        <m:t>y</m:t>
                      </m:r>
                    </m:sub>
                  </m:sSub>
                </m:sub>
              </m:sSub>
            </m:num>
            <m:den>
              <m:r>
                <m:t>1</m:t>
              </m:r>
              <m:r>
                <m:rPr>
                  <m:sty m:val="p"/>
                </m:rPr>
                <m:t>+</m:t>
              </m:r>
              <m:sSubSup>
                <m:e>
                  <m:r>
                    <m:t>σ</m:t>
                  </m:r>
                </m:e>
                <m:sub>
                  <m:sSub>
                    <m:e>
                      <m:r>
                        <m:t>g</m:t>
                      </m:r>
                    </m:e>
                    <m:sub>
                      <m:r>
                        <m:t>x</m:t>
                      </m:r>
                    </m:sub>
                  </m:sSub>
                  <m:r>
                    <m:rPr>
                      <m:sty m:val="p"/>
                    </m:rPr>
                    <m:t>,</m:t>
                  </m:r>
                  <m:sSub>
                    <m:e>
                      <m:r>
                        <m:t>g</m:t>
                      </m:r>
                    </m:e>
                    <m:sub>
                      <m:r>
                        <m:t>y</m:t>
                      </m:r>
                    </m:sub>
                  </m:sSub>
                </m:sub>
                <m:sup>
                  <m:r>
                    <m:t>2</m:t>
                  </m:r>
                </m:sup>
              </m:sSubSup>
            </m:den>
          </m:f>
        </m:oMath>
      </m:oMathPara>
    </w:p>
    <w:p>
      <w:pPr>
        <w:pStyle w:val="FirstParagraph"/>
      </w:pPr>
      <w:r>
        <w:t xml:space="preserve">This formulation has an intuitive interpretation. The numerator favors cells with high estimated ice concentration. The denominator penalizes cells where that estimate is uncertain – a cell reporting</w:t>
      </w:r>
      <w:r>
        <w:t xml:space="preserve"> </w:t>
      </w:r>
      <m:oMath>
        <m:r>
          <m:t>μ</m:t>
        </m:r>
        <m:r>
          <m:rPr>
            <m:sty m:val="p"/>
          </m:rPr>
          <m:t>=</m:t>
        </m:r>
        <m:r>
          <m:t>5</m:t>
        </m:r>
      </m:oMath>
      <w:r>
        <w:t xml:space="preserve"> </w:t>
      </w:r>
      <w:r>
        <w:t xml:space="preserve">wt% with</w:t>
      </w:r>
      <w:r>
        <w:t xml:space="preserve"> </w:t>
      </w:r>
      <m:oMath>
        <m:sSup>
          <m:e>
            <m:r>
              <m:t>σ</m:t>
            </m:r>
          </m:e>
          <m:sup>
            <m:r>
              <m:t>2</m:t>
            </m:r>
          </m:sup>
        </m:sSup>
        <m:r>
          <m:rPr>
            <m:sty m:val="p"/>
          </m:rPr>
          <m:t>=</m:t>
        </m:r>
        <m:r>
          <m:t>50</m:t>
        </m:r>
      </m:oMath>
      <w:r>
        <w:t xml:space="preserve"> </w:t>
      </w:r>
      <w:r>
        <w:t xml:space="preserve">(barely surveyed) scores lower than a cell reporting</w:t>
      </w:r>
      <w:r>
        <w:t xml:space="preserve"> </w:t>
      </w:r>
      <m:oMath>
        <m:r>
          <m:t>μ</m:t>
        </m:r>
        <m:r>
          <m:rPr>
            <m:sty m:val="p"/>
          </m:rPr>
          <m:t>=</m:t>
        </m:r>
        <m:r>
          <m:t>4</m:t>
        </m:r>
      </m:oMath>
      <w:r>
        <w:t xml:space="preserve"> </w:t>
      </w:r>
      <w:r>
        <w:t xml:space="preserve">wt% with</w:t>
      </w:r>
      <w:r>
        <w:t xml:space="preserve"> </w:t>
      </w:r>
      <m:oMath>
        <m:sSup>
          <m:e>
            <m:r>
              <m:t>σ</m:t>
            </m:r>
          </m:e>
          <m:sup>
            <m:r>
              <m:t>2</m:t>
            </m:r>
          </m:sup>
        </m:sSup>
        <m:r>
          <m:rPr>
            <m:sty m:val="p"/>
          </m:rPr>
          <m:t>=</m:t>
        </m:r>
        <m:r>
          <m:t>0.5</m:t>
        </m:r>
      </m:oMath>
      <w:r>
        <w:t xml:space="preserve"> </w:t>
      </w:r>
      <w:r>
        <w:t xml:space="preserve">(well characterized). This prevents the planner from committing excavation resources to a site based on a single noisy reading.</w:t>
      </w:r>
    </w:p>
    <w:p>
      <w:pPr>
        <w:pStyle w:val="BodyText"/>
      </w:pPr>
      <w:r>
        <w:t xml:space="preserve">The score function can also be interpreted as an approximation to the</w:t>
      </w:r>
      <w:r>
        <w:t xml:space="preserve"> </w:t>
      </w:r>
      <w:r>
        <w:rPr>
          <w:i/>
          <w:iCs/>
        </w:rPr>
        <w:t xml:space="preserve">probability of the concentration exceeding a threshold</w:t>
      </w:r>
      <w:r>
        <w:t xml:space="preserve">, which under Gaussian assumptions relates to the</w:t>
      </w:r>
      <w:r>
        <w:t xml:space="preserve"> </w:t>
      </w:r>
      <m:oMath>
        <m:r>
          <m:t>z</m:t>
        </m:r>
      </m:oMath>
      <w:r>
        <w:t xml:space="preserve">-score</w:t>
      </w:r>
      <w:r>
        <w:t xml:space="preserve"> </w:t>
      </w:r>
      <m:oMath>
        <m:r>
          <m:t>μ</m:t>
        </m:r>
        <m:r>
          <m:rPr>
            <m:sty m:val="p"/>
          </m:rPr>
          <m:t>/</m:t>
        </m:r>
        <m:r>
          <m:t>σ</m:t>
        </m:r>
      </m:oMath>
      <w:r>
        <w:t xml:space="preserve">. The</w:t>
      </w:r>
      <w:r>
        <w:t xml:space="preserve"> </w:t>
      </w:r>
      <m:oMath>
        <m:r>
          <m:rPr>
            <m:sty m:val="p"/>
          </m:rPr>
          <m:t>(</m:t>
        </m:r>
        <m:r>
          <m:t>1</m:t>
        </m:r>
        <m:r>
          <m:rPr>
            <m:sty m:val="p"/>
          </m:rPr>
          <m:t>+</m:t>
        </m:r>
        <m:sSup>
          <m:e>
            <m:r>
              <m:t>σ</m:t>
            </m:r>
          </m:e>
          <m:sup>
            <m:r>
              <m:t>2</m:t>
            </m:r>
          </m:sup>
        </m:sSup>
        <m:r>
          <m:rPr>
            <m:sty m:val="p"/>
          </m:rPr>
          <m:t>)</m:t>
        </m:r>
      </m:oMath>
      <w:r>
        <w:t xml:space="preserve"> </w:t>
      </w:r>
      <w:r>
        <w:t xml:space="preserve">form in the denominator provides additional penalization of high variance compared to the</w:t>
      </w:r>
      <w:r>
        <w:t xml:space="preserve"> </w:t>
      </w:r>
      <m:oMath>
        <m:r>
          <m:t>z</m:t>
        </m:r>
      </m:oMath>
      <w:r>
        <w:t xml:space="preserve">-score, reflecting the operational risk aversion appropriate for committing heavy excavation machinery to a specific site.</w:t>
      </w:r>
    </w:p>
    <w:bookmarkEnd w:id="39"/>
    <w:bookmarkEnd w:id="40"/>
    <w:bookmarkStart w:id="44" w:name="computational-complexity-analysis"/>
    <w:p>
      <w:pPr>
        <w:pStyle w:val="Heading1"/>
      </w:pPr>
      <w:r>
        <w:rPr>
          <w:rStyle w:val="SectionNumber"/>
        </w:rPr>
        <w:t xml:space="preserve">8</w:t>
      </w:r>
      <w:r>
        <w:tab/>
      </w:r>
      <w:r>
        <w:t xml:space="preserve">Computational Complexity Analysis</w:t>
      </w:r>
    </w:p>
    <w:bookmarkStart w:id="41" w:name="per-reading-update-cost"/>
    <w:p>
      <w:pPr>
        <w:pStyle w:val="Heading2"/>
      </w:pPr>
      <w:r>
        <w:rPr>
          <w:rStyle w:val="SectionNumber"/>
        </w:rPr>
        <w:t xml:space="preserve">8.1</w:t>
      </w:r>
      <w:r>
        <w:tab/>
      </w:r>
      <w:r>
        <w:t xml:space="preserve">Per-Reading Update Cost</w:t>
      </w:r>
    </w:p>
    <w:p>
      <w:pPr>
        <w:pStyle w:val="FirstParagraph"/>
      </w:pPr>
      <w:r>
        <w:t xml:space="preserve">Each sensor reading triggers updates to at most</w:t>
      </w:r>
      <w:r>
        <w:t xml:space="preserve"> </w:t>
      </w:r>
      <m:oMath>
        <m:sSub>
          <m:e>
            <m:r>
              <m:t>N</m:t>
            </m:r>
          </m:e>
          <m:sub>
            <m:r>
              <m:t>f</m:t>
            </m:r>
          </m:sub>
        </m:sSub>
      </m:oMath>
      <w:r>
        <w:t xml:space="preserve"> </w:t>
      </w:r>
      <w:r>
        <w:t xml:space="preserve">cells within the footprint. For each cell, the update comprises:</w:t>
      </w:r>
    </w:p>
    <w:p>
      <w:pPr>
        <w:pStyle w:val="Compact"/>
        <w:numPr>
          <w:ilvl w:val="0"/>
          <w:numId w:val="1002"/>
        </w:numPr>
      </w:pPr>
      <w:r>
        <w:t xml:space="preserve">One world-to-grid coordinate conversion:</w:t>
      </w:r>
      <w:r>
        <w:t xml:space="preserve"> </w:t>
      </w:r>
      <m:oMath>
        <m:r>
          <m:t>O</m:t>
        </m:r>
        <m:r>
          <m:rPr>
            <m:sty m:val="p"/>
          </m:rPr>
          <m:t>(</m:t>
        </m:r>
        <m:r>
          <m:t>1</m:t>
        </m:r>
        <m:r>
          <m:rPr>
            <m:sty m:val="p"/>
          </m:rPr>
          <m:t>)</m:t>
        </m:r>
      </m:oMath>
      <w:r>
        <w:t xml:space="preserve">.</w:t>
      </w:r>
    </w:p>
    <w:p>
      <w:pPr>
        <w:pStyle w:val="Compact"/>
        <w:numPr>
          <w:ilvl w:val="0"/>
          <w:numId w:val="1002"/>
        </w:numPr>
      </w:pPr>
      <w:r>
        <w:t xml:space="preserve">One grid-to-world conversion (for distance computation):</w:t>
      </w:r>
      <w:r>
        <w:t xml:space="preserve"> </w:t>
      </w:r>
      <m:oMath>
        <m:r>
          <m:t>O</m:t>
        </m:r>
        <m:r>
          <m:rPr>
            <m:sty m:val="p"/>
          </m:rPr>
          <m:t>(</m:t>
        </m:r>
        <m:r>
          <m:t>1</m:t>
        </m:r>
        <m:r>
          <m:rPr>
            <m:sty m:val="p"/>
          </m:rPr>
          <m:t>)</m:t>
        </m:r>
      </m:oMath>
      <w:r>
        <w:t xml:space="preserve">.</w:t>
      </w:r>
    </w:p>
    <w:p>
      <w:pPr>
        <w:pStyle w:val="Compact"/>
        <w:numPr>
          <w:ilvl w:val="0"/>
          <w:numId w:val="1002"/>
        </w:numPr>
      </w:pPr>
      <w:r>
        <w:t xml:space="preserve">One Euclidean distance computation:</w:t>
      </w:r>
      <w:r>
        <w:t xml:space="preserve"> </w:t>
      </w:r>
      <m:oMath>
        <m:r>
          <m:t>O</m:t>
        </m:r>
        <m:r>
          <m:rPr>
            <m:sty m:val="p"/>
          </m:rPr>
          <m:t>(</m:t>
        </m:r>
        <m:r>
          <m:t>1</m:t>
        </m:r>
        <m:r>
          <m:rPr>
            <m:sty m:val="p"/>
          </m:rPr>
          <m:t>)</m:t>
        </m:r>
      </m:oMath>
      <w:r>
        <w:t xml:space="preserve">.</w:t>
      </w:r>
    </w:p>
    <w:p>
      <w:pPr>
        <w:pStyle w:val="Compact"/>
        <w:numPr>
          <w:ilvl w:val="0"/>
          <w:numId w:val="1002"/>
        </w:numPr>
      </w:pPr>
      <w:r>
        <w:t xml:space="preserve">One exponential evaluation (weight):</w:t>
      </w:r>
      <w:r>
        <w:t xml:space="preserve"> </w:t>
      </w:r>
      <m:oMath>
        <m:r>
          <m:t>O</m:t>
        </m:r>
        <m:r>
          <m:rPr>
            <m:sty m:val="p"/>
          </m:rPr>
          <m:t>(</m:t>
        </m:r>
        <m:r>
          <m:t>1</m:t>
        </m:r>
        <m:r>
          <m:rPr>
            <m:sty m:val="p"/>
          </m:rPr>
          <m:t>)</m:t>
        </m:r>
      </m:oMath>
      <w:r>
        <w:t xml:space="preserve">.</w:t>
      </w:r>
    </w:p>
    <w:p>
      <w:pPr>
        <w:pStyle w:val="Compact"/>
        <w:numPr>
          <w:ilvl w:val="0"/>
          <w:numId w:val="1002"/>
        </w:numPr>
      </w:pPr>
      <w:r>
        <w:t xml:space="preserve">The conjugate update (three divisions, two multiplications, two additions):</w:t>
      </w:r>
      <w:r>
        <w:t xml:space="preserve"> </w:t>
      </w:r>
      <m:oMath>
        <m:r>
          <m:t>O</m:t>
        </m:r>
        <m:r>
          <m:rPr>
            <m:sty m:val="p"/>
          </m:rPr>
          <m:t>(</m:t>
        </m:r>
        <m:r>
          <m:t>1</m:t>
        </m:r>
        <m:r>
          <m:rPr>
            <m:sty m:val="p"/>
          </m:rPr>
          <m:t>)</m:t>
        </m:r>
      </m:oMath>
      <w:r>
        <w:t xml:space="preserve">.</w:t>
      </w:r>
    </w:p>
    <w:p>
      <w:pPr>
        <w:pStyle w:val="FirstParagraph"/>
      </w:pPr>
      <w:r>
        <w:t xml:space="preserve">Total per-reading cost:</w:t>
      </w:r>
      <w:r>
        <w:t xml:space="preserve"> </w:t>
      </w:r>
      <m:oMath>
        <m:r>
          <m:t>O</m:t>
        </m:r>
        <m:r>
          <m:rPr>
            <m:sty m:val="p"/>
          </m:rPr>
          <m:t>(</m:t>
        </m:r>
        <m:sSub>
          <m:e>
            <m:r>
              <m:t>N</m:t>
            </m:r>
          </m:e>
          <m:sub>
            <m:r>
              <m:t>f</m:t>
            </m:r>
          </m:sub>
        </m:sSub>
        <m:r>
          <m:rPr>
            <m:sty m:val="p"/>
          </m:rPr>
          <m:t>)</m:t>
        </m:r>
      </m:oMath>
      <w:r>
        <w:t xml:space="preserve">. Since</w:t>
      </w:r>
      <w:r>
        <w:t xml:space="preserve"> </w:t>
      </w:r>
      <m:oMath>
        <m:sSub>
          <m:e>
            <m:r>
              <m:t>N</m:t>
            </m:r>
          </m:e>
          <m:sub>
            <m:r>
              <m:t>f</m:t>
            </m:r>
          </m:sub>
        </m:sSub>
      </m:oMath>
      <w:r>
        <w:t xml:space="preserve"> </w:t>
      </w:r>
      <w:r>
        <w:t xml:space="preserve">depends only on</w:t>
      </w:r>
      <w:r>
        <w:t xml:space="preserve"> </w:t>
      </w:r>
      <m:oMath>
        <m:sSub>
          <m:e>
            <m:r>
              <m:t>R</m:t>
            </m:r>
          </m:e>
          <m:sub>
            <m:r>
              <m:t>f</m:t>
            </m:r>
          </m:sub>
        </m:sSub>
      </m:oMath>
      <w:r>
        <w:t xml:space="preserve"> </w:t>
      </w:r>
      <w:r>
        <w:t xml:space="preserve">and</w:t>
      </w:r>
      <w:r>
        <w:t xml:space="preserve"> </w:t>
      </w:r>
      <m:oMath>
        <m:r>
          <m:t>δ</m:t>
        </m:r>
      </m:oMath>
      <w:r>
        <w:t xml:space="preserve"> </w:t>
      </w:r>
      <w:r>
        <w:t xml:space="preserve">(both constants), the per-reading cost is</w:t>
      </w:r>
      <w:r>
        <w:t xml:space="preserve"> </w:t>
      </w:r>
      <m:oMath>
        <m:r>
          <m:t>O</m:t>
        </m:r>
        <m:r>
          <m:rPr>
            <m:sty m:val="p"/>
          </m:rPr>
          <m:t>(</m:t>
        </m:r>
        <m:r>
          <m:t>1</m:t>
        </m:r>
        <m:r>
          <m:rPr>
            <m:sty m:val="p"/>
          </m:rPr>
          <m:t>)</m:t>
        </m:r>
      </m:oMath>
      <w:r>
        <w:t xml:space="preserve"> </w:t>
      </w:r>
      <w:r>
        <w:t xml:space="preserve">with respect to the number of prior observations</w:t>
      </w:r>
      <w:r>
        <w:t xml:space="preserve"> </w:t>
      </w:r>
      <m:oMath>
        <m:r>
          <m:t>K</m:t>
        </m:r>
      </m:oMath>
      <w:r>
        <w:t xml:space="preserve">. This stands in contrast to:</w:t>
      </w:r>
    </w:p>
    <w:p>
      <w:pPr>
        <w:pStyle w:val="TableCaption"/>
      </w:pPr>
      <w:r>
        <w:t xml:space="preserve">Computational complexity comparison.</w:t>
      </w:r>
      <w:r>
        <w:t xml:space="preserve"> </w:t>
      </w:r>
      <m:oMath>
        <m:r>
          <m:t>K</m:t>
        </m:r>
      </m:oMath>
      <w:r>
        <w:t xml:space="preserve"> </w:t>
      </w:r>
      <w:r>
        <w:t xml:space="preserve">= total observations,</w:t>
      </w:r>
      <w:r>
        <w:t xml:space="preserve"> </w:t>
      </w:r>
      <m:oMath>
        <m:sSub>
          <m:e>
            <m:r>
              <m:t>N</m:t>
            </m:r>
          </m:e>
          <m:sub>
            <m:r>
              <m:t>f</m:t>
            </m:r>
          </m:sub>
        </m:sSub>
      </m:oMath>
      <w:r>
        <w:t xml:space="preserve"> </w:t>
      </w:r>
      <w:r>
        <w:t xml:space="preserve">= footprint cell count (constant),</w:t>
      </w:r>
      <w:r>
        <w:t xml:space="preserve"> </w:t>
      </w:r>
      <m:oMath>
        <m:r>
          <m:t>M</m:t>
        </m:r>
      </m:oMath>
      <w:r>
        <w:t xml:space="preserve"> </w:t>
      </w:r>
      <w:r>
        <w:t xml:space="preserve">= inducing points.</w:t>
      </w:r>
    </w:p>
    <w:tbl>
      <w:tblPr>
        <w:tblStyle w:val="Table"/>
        <w:tblW w:type="auto" w:w="0"/>
        <w:tblLook w:firstRow="1" w:lastRow="0" w:firstColumn="0" w:lastColumn="0" w:noHBand="0" w:noVBand="0" w:val="0020"/>
        <w:tblCaption w:val="Computational complexity comparison. K = total observations, N_f = footprint cell count (constant), M = inducing points."/>
      </w:tblPr>
      <w:tblGrid>
        <w:gridCol w:w="1980"/>
        <w:gridCol w:w="1980"/>
        <w:gridCol w:w="1980"/>
        <w:gridCol w:w="1980"/>
      </w:tblGrid>
      <w:tr>
        <w:trPr>
          <w:tblHeader w:val="on"/>
        </w:trPr>
        <w:tc>
          <w:tcPr/>
          <w:p>
            <w:pPr>
              <w:pStyle w:val="Compact"/>
            </w:pPr>
            <w:r>
              <w:t xml:space="preserve">Method</w:t>
            </w:r>
          </w:p>
        </w:tc>
        <w:tc>
          <w:tcPr/>
          <w:p>
            <w:pPr>
              <w:pStyle w:val="Compact"/>
            </w:pPr>
            <w:r>
              <w:t xml:space="preserve">Per-reading update</w:t>
            </w:r>
          </w:p>
        </w:tc>
        <w:tc>
          <w:tcPr/>
          <w:p>
            <w:pPr>
              <w:pStyle w:val="Compact"/>
            </w:pPr>
            <w:r>
              <w:t xml:space="preserve">Query cost</w:t>
            </w:r>
          </w:p>
        </w:tc>
        <w:tc>
          <w:tcPr/>
          <w:p>
            <w:pPr>
              <w:pStyle w:val="Compact"/>
            </w:pPr>
            <w:r>
              <w:t xml:space="preserve">Storage</w:t>
            </w:r>
          </w:p>
        </w:tc>
      </w:tr>
      <w:tr>
        <w:tc>
          <w:tcPr/>
          <w:p>
            <w:pPr>
              <w:pStyle w:val="Compact"/>
            </w:pPr>
            <w:r>
              <w:rPr>
                <w:b/>
                <w:bCs/>
              </w:rPr>
              <w:t xml:space="preserve">SELENE grid</w:t>
            </w:r>
          </w:p>
        </w:tc>
        <w:tc>
          <w:tcPr/>
          <w:p>
            <w:pPr>
              <w:pStyle w:val="Compact"/>
            </w:pPr>
            <m:oMath>
              <m:r>
                <m:t>O</m:t>
              </m:r>
              <m:r>
                <m:rPr>
                  <m:sty m:val="p"/>
                </m:rPr>
                <m:t>(</m:t>
              </m:r>
              <m:sSub>
                <m:e>
                  <m:r>
                    <m:t>N</m:t>
                  </m:r>
                </m:e>
                <m:sub>
                  <m:r>
                    <m:t>f</m:t>
                  </m:r>
                </m:sub>
              </m:sSub>
              <m:r>
                <m:rPr>
                  <m:sty m:val="p"/>
                </m:rPr>
                <m:t>)</m:t>
              </m:r>
            </m:oMath>
            <w:r>
              <w:t xml:space="preserve"> </w:t>
            </w:r>
            <w:r>
              <w:t xml:space="preserve">(const)</w:t>
            </w:r>
          </w:p>
        </w:tc>
        <w:tc>
          <w:tcPr/>
          <w:p>
            <w:pPr>
              <w:pStyle w:val="Compact"/>
            </w:pPr>
            <m:oMath>
              <m:r>
                <m:t>O</m:t>
              </m:r>
              <m:r>
                <m:rPr>
                  <m:sty m:val="p"/>
                </m:rPr>
                <m:t>(</m:t>
              </m:r>
              <m:r>
                <m:t>1</m:t>
              </m:r>
              <m:r>
                <m:rPr>
                  <m:sty m:val="p"/>
                </m:rPr>
                <m:t>)</m:t>
              </m:r>
            </m:oMath>
          </w:p>
        </w:tc>
        <w:tc>
          <w:tcPr/>
          <w:p>
            <w:pPr>
              <w:pStyle w:val="Compact"/>
            </w:pPr>
            <m:oMath>
              <m:r>
                <m:t>O</m:t>
              </m:r>
              <m:r>
                <m:rPr>
                  <m:sty m:val="p"/>
                </m:rPr>
                <m:t>(</m:t>
              </m:r>
              <m:r>
                <m:t>W</m:t>
              </m:r>
              <m:r>
                <m:t>H</m:t>
              </m:r>
              <m:r>
                <m:rPr>
                  <m:sty m:val="p"/>
                </m:rPr>
                <m:t>)</m:t>
              </m:r>
            </m:oMath>
          </w:p>
        </w:tc>
      </w:tr>
      <w:tr>
        <w:tc>
          <w:tcPr/>
          <w:p>
            <w:pPr>
              <w:pStyle w:val="Compact"/>
            </w:pPr>
            <w:r>
              <w:t xml:space="preserve">Full GP</w:t>
            </w:r>
          </w:p>
        </w:tc>
        <w:tc>
          <w:tcPr/>
          <w:p>
            <w:pPr>
              <w:pStyle w:val="Compact"/>
            </w:pPr>
            <m:oMath>
              <m:r>
                <m:t>O</m:t>
              </m:r>
              <m:r>
                <m:rPr>
                  <m:sty m:val="p"/>
                </m:rPr>
                <m:t>(</m:t>
              </m:r>
              <m:sSup>
                <m:e>
                  <m:r>
                    <m:t>K</m:t>
                  </m:r>
                </m:e>
                <m:sup>
                  <m:r>
                    <m:t>2</m:t>
                  </m:r>
                </m:sup>
              </m:sSup>
              <m:r>
                <m:rPr>
                  <m:sty m:val="p"/>
                </m:rPr>
                <m:t>)</m:t>
              </m:r>
            </m:oMath>
            <w:r>
              <w:t xml:space="preserve"> </w:t>
            </w:r>
            <w:r>
              <w:t xml:space="preserve">amortized</w:t>
            </w:r>
          </w:p>
        </w:tc>
        <w:tc>
          <w:tcPr/>
          <w:p>
            <w:pPr>
              <w:pStyle w:val="Compact"/>
            </w:pPr>
            <m:oMath>
              <m:r>
                <m:t>O</m:t>
              </m:r>
              <m:r>
                <m:rPr>
                  <m:sty m:val="p"/>
                </m:rPr>
                <m:t>(</m:t>
              </m:r>
              <m:r>
                <m:t>K</m:t>
              </m:r>
              <m:r>
                <m:rPr>
                  <m:sty m:val="p"/>
                </m:rPr>
                <m:t>)</m:t>
              </m:r>
            </m:oMath>
          </w:p>
        </w:tc>
        <w:tc>
          <w:tcPr/>
          <w:p>
            <w:pPr>
              <w:pStyle w:val="Compact"/>
            </w:pPr>
            <m:oMath>
              <m:r>
                <m:t>O</m:t>
              </m:r>
              <m:r>
                <m:rPr>
                  <m:sty m:val="p"/>
                </m:rPr>
                <m:t>(</m:t>
              </m:r>
              <m:sSup>
                <m:e>
                  <m:r>
                    <m:t>K</m:t>
                  </m:r>
                </m:e>
                <m:sup>
                  <m:r>
                    <m:t>2</m:t>
                  </m:r>
                </m:sup>
              </m:sSup>
              <m:r>
                <m:rPr>
                  <m:sty m:val="p"/>
                </m:rPr>
                <m:t>)</m:t>
              </m:r>
            </m:oMath>
          </w:p>
        </w:tc>
      </w:tr>
      <w:tr>
        <w:tc>
          <w:tcPr/>
          <w:p>
            <w:pPr>
              <w:pStyle w:val="Compact"/>
            </w:pPr>
            <w:r>
              <w:t xml:space="preserve">GP (from scratch)</w:t>
            </w:r>
          </w:p>
        </w:tc>
        <w:tc>
          <w:tcPr/>
          <w:p>
            <w:pPr>
              <w:pStyle w:val="Compact"/>
            </w:pPr>
            <m:oMath>
              <m:r>
                <m:t>O</m:t>
              </m:r>
              <m:r>
                <m:rPr>
                  <m:sty m:val="p"/>
                </m:rPr>
                <m:t>(</m:t>
              </m:r>
              <m:sSup>
                <m:e>
                  <m:r>
                    <m:t>K</m:t>
                  </m:r>
                </m:e>
                <m:sup>
                  <m:r>
                    <m:t>3</m:t>
                  </m:r>
                </m:sup>
              </m:sSup>
              <m:r>
                <m:rPr>
                  <m:sty m:val="p"/>
                </m:rPr>
                <m:t>)</m:t>
              </m:r>
            </m:oMath>
          </w:p>
        </w:tc>
        <w:tc>
          <w:tcPr/>
          <w:p>
            <w:pPr>
              <w:pStyle w:val="Compact"/>
            </w:pPr>
            <m:oMath>
              <m:r>
                <m:t>O</m:t>
              </m:r>
              <m:r>
                <m:rPr>
                  <m:sty m:val="p"/>
                </m:rPr>
                <m:t>(</m:t>
              </m:r>
              <m:sSup>
                <m:e>
                  <m:r>
                    <m:t>K</m:t>
                  </m:r>
                </m:e>
                <m:sup>
                  <m:r>
                    <m:t>2</m:t>
                  </m:r>
                </m:sup>
              </m:sSup>
              <m:r>
                <m:rPr>
                  <m:sty m:val="p"/>
                </m:rPr>
                <m:t>)</m:t>
              </m:r>
            </m:oMath>
          </w:p>
        </w:tc>
        <w:tc>
          <w:tcPr/>
          <w:p>
            <w:pPr>
              <w:pStyle w:val="Compact"/>
            </w:pPr>
            <m:oMath>
              <m:r>
                <m:t>O</m:t>
              </m:r>
              <m:r>
                <m:rPr>
                  <m:sty m:val="p"/>
                </m:rPr>
                <m:t>(</m:t>
              </m:r>
              <m:sSup>
                <m:e>
                  <m:r>
                    <m:t>K</m:t>
                  </m:r>
                </m:e>
                <m:sup>
                  <m:r>
                    <m:t>2</m:t>
                  </m:r>
                </m:sup>
              </m:sSup>
              <m:r>
                <m:rPr>
                  <m:sty m:val="p"/>
                </m:rPr>
                <m:t>)</m:t>
              </m:r>
            </m:oMath>
          </w:p>
        </w:tc>
      </w:tr>
      <w:tr>
        <w:tc>
          <w:tcPr/>
          <w:p>
            <w:pPr>
              <w:pStyle w:val="Compact"/>
            </w:pPr>
            <w:r>
              <w:t xml:space="preserve">Sparse GP (</w:t>
            </w:r>
            <m:oMath>
              <m:r>
                <m:t>M</m:t>
              </m:r>
            </m:oMath>
            <w:r>
              <w:t xml:space="preserve"> </w:t>
            </w:r>
            <w:r>
              <w:t xml:space="preserve">pts)</w:t>
            </w:r>
          </w:p>
        </w:tc>
        <w:tc>
          <w:tcPr/>
          <w:p>
            <w:pPr>
              <w:pStyle w:val="Compact"/>
            </w:pPr>
            <m:oMath>
              <m:r>
                <m:t>O</m:t>
              </m:r>
              <m:r>
                <m:rPr>
                  <m:sty m:val="p"/>
                </m:rPr>
                <m:t>(</m:t>
              </m:r>
              <m:sSup>
                <m:e>
                  <m:r>
                    <m:t>M</m:t>
                  </m:r>
                </m:e>
                <m:sup>
                  <m:r>
                    <m:t>2</m:t>
                  </m:r>
                </m:sup>
              </m:sSup>
              <m:r>
                <m:rPr>
                  <m:sty m:val="p"/>
                </m:rPr>
                <m:t>)</m:t>
              </m:r>
            </m:oMath>
          </w:p>
        </w:tc>
        <w:tc>
          <w:tcPr/>
          <w:p>
            <w:pPr>
              <w:pStyle w:val="Compact"/>
            </w:pPr>
            <m:oMath>
              <m:r>
                <m:t>O</m:t>
              </m:r>
              <m:r>
                <m:rPr>
                  <m:sty m:val="p"/>
                </m:rPr>
                <m:t>(</m:t>
              </m:r>
              <m:r>
                <m:t>M</m:t>
              </m:r>
              <m:r>
                <m:rPr>
                  <m:sty m:val="p"/>
                </m:rPr>
                <m:t>)</m:t>
              </m:r>
            </m:oMath>
          </w:p>
        </w:tc>
        <w:tc>
          <w:tcPr/>
          <w:p>
            <w:pPr>
              <w:pStyle w:val="Compact"/>
            </w:pPr>
            <m:oMath>
              <m:r>
                <m:t>O</m:t>
              </m:r>
              <m:r>
                <m:rPr>
                  <m:sty m:val="p"/>
                </m:rPr>
                <m:t>(</m:t>
              </m:r>
              <m:r>
                <m:t>N</m:t>
              </m:r>
              <m:r>
                <m:t>M</m:t>
              </m:r>
              <m:r>
                <m:rPr>
                  <m:sty m:val="p"/>
                </m:rPr>
                <m:t>)</m:t>
              </m:r>
            </m:oMath>
          </w:p>
        </w:tc>
      </w:tr>
      <w:tr>
        <w:tc>
          <w:tcPr/>
          <w:p>
            <w:pPr>
              <w:pStyle w:val="Compact"/>
            </w:pPr>
            <w:r>
              <w:t xml:space="preserve">Kriging (exact)</w:t>
            </w:r>
          </w:p>
        </w:tc>
        <w:tc>
          <w:tcPr/>
          <w:p>
            <w:pPr>
              <w:pStyle w:val="Compact"/>
            </w:pPr>
            <m:oMath>
              <m:r>
                <m:t>O</m:t>
              </m:r>
              <m:r>
                <m:rPr>
                  <m:sty m:val="p"/>
                </m:rPr>
                <m:t>(</m:t>
              </m:r>
              <m:sSup>
                <m:e>
                  <m:r>
                    <m:t>K</m:t>
                  </m:r>
                </m:e>
                <m:sup>
                  <m:r>
                    <m:t>3</m:t>
                  </m:r>
                </m:sup>
              </m:sSup>
              <m:r>
                <m:rPr>
                  <m:sty m:val="p"/>
                </m:rPr>
                <m:t>)</m:t>
              </m:r>
            </m:oMath>
          </w:p>
        </w:tc>
        <w:tc>
          <w:tcPr/>
          <w:p>
            <w:pPr>
              <w:pStyle w:val="Compact"/>
            </w:pPr>
            <m:oMath>
              <m:r>
                <m:t>O</m:t>
              </m:r>
              <m:r>
                <m:rPr>
                  <m:sty m:val="p"/>
                </m:rPr>
                <m:t>(</m:t>
              </m:r>
              <m:sSup>
                <m:e>
                  <m:r>
                    <m:t>K</m:t>
                  </m:r>
                </m:e>
                <m:sup>
                  <m:r>
                    <m:t>2</m:t>
                  </m:r>
                </m:sup>
              </m:sSup>
              <m:r>
                <m:rPr>
                  <m:sty m:val="p"/>
                </m:rPr>
                <m:t>)</m:t>
              </m:r>
            </m:oMath>
          </w:p>
        </w:tc>
        <w:tc>
          <w:tcPr/>
          <w:p>
            <w:pPr>
              <w:pStyle w:val="Compact"/>
            </w:pPr>
            <m:oMath>
              <m:r>
                <m:t>O</m:t>
              </m:r>
              <m:r>
                <m:rPr>
                  <m:sty m:val="p"/>
                </m:rPr>
                <m:t>(</m:t>
              </m:r>
              <m:sSup>
                <m:e>
                  <m:r>
                    <m:t>K</m:t>
                  </m:r>
                </m:e>
                <m:sup>
                  <m:r>
                    <m:t>2</m:t>
                  </m:r>
                </m:sup>
              </m:sSup>
              <m:r>
                <m:rPr>
                  <m:sty m:val="p"/>
                </m:rPr>
                <m:t>)</m:t>
              </m:r>
            </m:oMath>
          </w:p>
        </w:tc>
      </w:tr>
    </w:tbl>
    <w:bookmarkEnd w:id="41"/>
    <w:bookmarkStart w:id="42" w:name="storage-cost"/>
    <w:p>
      <w:pPr>
        <w:pStyle w:val="Heading2"/>
      </w:pPr>
      <w:r>
        <w:rPr>
          <w:rStyle w:val="SectionNumber"/>
        </w:rPr>
        <w:t xml:space="preserve">8.2</w:t>
      </w:r>
      <w:r>
        <w:tab/>
      </w:r>
      <w:r>
        <w:t xml:space="preserve">Storage Cost</w:t>
      </w:r>
    </w:p>
    <w:p>
      <w:pPr>
        <w:pStyle w:val="FirstParagraph"/>
      </w:pPr>
      <w:r>
        <w:t xml:space="preserve">The grid stores three arrays of size</w:t>
      </w:r>
      <w:r>
        <w:t xml:space="preserve"> </w:t>
      </w:r>
      <m:oMath>
        <m:r>
          <m:t>W</m:t>
        </m:r>
        <m:r>
          <m:rPr>
            <m:sty m:val="p"/>
          </m:rPr>
          <m:t>×</m:t>
        </m:r>
        <m:r>
          <m:t>H</m:t>
        </m:r>
      </m:oMath>
      <w:r>
        <w:t xml:space="preserve">: mean (</w:t>
      </w:r>
      <m:oMath>
        <m:r>
          <m:t>μ</m:t>
        </m:r>
      </m:oMath>
      <w:r>
        <w:t xml:space="preserve">), variance (</w:t>
      </w:r>
      <m:oMath>
        <m:sSup>
          <m:e>
            <m:r>
              <m:t>σ</m:t>
            </m:r>
          </m:e>
          <m:sup>
            <m:r>
              <m:t>2</m:t>
            </m:r>
          </m:sup>
        </m:sSup>
      </m:oMath>
      <w:r>
        <w:t xml:space="preserve">), and count (</w:t>
      </w:r>
      <m:oMath>
        <m:r>
          <m:t>n</m:t>
        </m:r>
      </m:oMath>
      <w:r>
        <w:t xml:space="preserve">). With 64-bit floats for mean and variance and 32-bit integers for count, total storage is:</w:t>
      </w:r>
    </w:p>
    <w:p>
      <w:pPr>
        <w:pStyle w:val="BodyText"/>
      </w:pPr>
      <m:oMathPara>
        <m:oMathParaPr>
          <m:jc m:val="center"/>
        </m:oMathParaPr>
        <m:oMath>
          <m:r>
            <m:rPr>
              <m:nor/>
              <m:sty m:val="p"/>
            </m:rPr>
            <m:t>Storage</m:t>
          </m:r>
          <m:r>
            <m:rPr>
              <m:sty m:val="p"/>
            </m:rPr>
            <m:t>=</m:t>
          </m:r>
          <m:r>
            <m:t>W</m:t>
          </m:r>
          <m:r>
            <m:rPr>
              <m:sty m:val="p"/>
            </m:rPr>
            <m:t>×</m:t>
          </m:r>
          <m:r>
            <m:t>H</m:t>
          </m:r>
          <m:r>
            <m:rPr>
              <m:sty m:val="p"/>
            </m:rPr>
            <m:t>×</m:t>
          </m:r>
          <m:r>
            <m:rPr>
              <m:sty m:val="p"/>
            </m:rPr>
            <m:t>(</m:t>
          </m:r>
          <m:r>
            <m:t>8</m:t>
          </m:r>
          <m:r>
            <m:rPr>
              <m:sty m:val="p"/>
            </m:rPr>
            <m:t>+</m:t>
          </m:r>
          <m:r>
            <m:t>8</m:t>
          </m:r>
          <m:r>
            <m:rPr>
              <m:sty m:val="p"/>
            </m:rPr>
            <m:t>+</m:t>
          </m:r>
          <m:r>
            <m:t>4</m:t>
          </m:r>
          <m:r>
            <m:rPr>
              <m:sty m:val="p"/>
            </m:rPr>
            <m:t>)</m:t>
          </m:r>
          <m:r>
            <m:rPr>
              <m:sty m:val="p"/>
            </m:rPr>
            <m:t>=</m:t>
          </m:r>
          <m:r>
            <m:t>500</m:t>
          </m:r>
          <m:r>
            <m:rPr>
              <m:sty m:val="p"/>
            </m:rPr>
            <m:t>×</m:t>
          </m:r>
          <m:r>
            <m:t>500</m:t>
          </m:r>
          <m:r>
            <m:rPr>
              <m:sty m:val="p"/>
            </m:rPr>
            <m:t>×</m:t>
          </m:r>
          <m:r>
            <m:t>20</m:t>
          </m:r>
          <m:r>
            <m:rPr>
              <m:sty m:val="p"/>
            </m:rPr>
            <m:t>=</m:t>
          </m:r>
          <m:r>
            <m:t>5</m:t>
          </m:r>
          <m:r>
            <m:rPr>
              <m:sty m:val="p"/>
            </m:rPr>
            <m:t>,</m:t>
          </m:r>
          <m:r>
            <m:t>000</m:t>
          </m:r>
          <m:r>
            <m:rPr>
              <m:sty m:val="p"/>
            </m:rPr>
            <m:t>,</m:t>
          </m:r>
          <m:r>
            <m:t>000</m:t>
          </m:r>
          <m:r>
            <m:rPr>
              <m:nor/>
              <m:sty m:val="p"/>
            </m:rPr>
            <m:t> bytes</m:t>
          </m:r>
          <m:r>
            <m:rPr>
              <m:sty m:val="p"/>
            </m:rPr>
            <m:t>≈</m:t>
          </m:r>
          <m:r>
            <m:t>4.8</m:t>
          </m:r>
          <m:r>
            <m:rPr>
              <m:nor/>
              <m:sty m:val="p"/>
            </m:rPr>
            <m:t> MB</m:t>
          </m:r>
        </m:oMath>
      </m:oMathPara>
    </w:p>
    <w:p>
      <w:pPr>
        <w:pStyle w:val="FirstParagraph"/>
      </w:pPr>
      <w:r>
        <w:t xml:space="preserve">This is a fixed allocation, independent of the number of observations – a desirable property for embedded systems with deterministic memory budgets.</w:t>
      </w:r>
    </w:p>
    <w:bookmarkEnd w:id="42"/>
    <w:bookmarkStart w:id="43" w:name="query-cost"/>
    <w:p>
      <w:pPr>
        <w:pStyle w:val="Heading2"/>
      </w:pPr>
      <w:r>
        <w:rPr>
          <w:rStyle w:val="SectionNumber"/>
        </w:rPr>
        <w:t xml:space="preserve">8.3</w:t>
      </w:r>
      <w:r>
        <w:tab/>
      </w:r>
      <w:r>
        <w:t xml:space="preserve">Query Cost</w:t>
      </w:r>
    </w:p>
    <w:p>
      <w:pPr>
        <w:pStyle w:val="FirstParagraph"/>
      </w:pPr>
      <w:r>
        <w:t xml:space="preserve">Querying the posterior mean or variance at any cell is a single array access:</w:t>
      </w:r>
      <w:r>
        <w:t xml:space="preserve"> </w:t>
      </w:r>
      <m:oMath>
        <m:r>
          <m:t>O</m:t>
        </m:r>
        <m:r>
          <m:rPr>
            <m:sty m:val="p"/>
          </m:rPr>
          <m:t>(</m:t>
        </m:r>
        <m:r>
          <m:t>1</m:t>
        </m:r>
        <m:r>
          <m:rPr>
            <m:sty m:val="p"/>
          </m:rPr>
          <m:t>)</m:t>
        </m:r>
      </m:oMath>
      <w:r>
        <w:t xml:space="preserve">. The</w:t>
      </w:r>
      <w:r>
        <w:t xml:space="preserve"> </w:t>
      </w:r>
      <w:r>
        <w:rPr>
          <w:rStyle w:val="VerbatimChar"/>
        </w:rPr>
        <w:t xml:space="preserve">get_best_extraction_sites</w:t>
      </w:r>
      <w:r>
        <w:t xml:space="preserve"> </w:t>
      </w:r>
      <w:r>
        <w:t xml:space="preserve">method scans the full grid:</w:t>
      </w:r>
      <w:r>
        <w:t xml:space="preserve"> </w:t>
      </w:r>
      <m:oMath>
        <m:r>
          <m:t>O</m:t>
        </m:r>
        <m:r>
          <m:rPr>
            <m:sty m:val="p"/>
          </m:rPr>
          <m:t>(</m:t>
        </m:r>
        <m:r>
          <m:t>W</m:t>
        </m:r>
        <m:r>
          <m:t>H</m:t>
        </m:r>
        <m:r>
          <m:rPr>
            <m:sty m:val="p"/>
          </m:rPr>
          <m:t>)</m:t>
        </m:r>
      </m:oMath>
      <w:r>
        <w:t xml:space="preserve">, but this is invoked only at site selection time (once per mission), not at sensor update frequency.</w:t>
      </w:r>
    </w:p>
    <w:bookmarkEnd w:id="43"/>
    <w:bookmarkEnd w:id="44"/>
    <w:bookmarkStart w:id="50" w:name="comparison-with-alternative-approaches"/>
    <w:p>
      <w:pPr>
        <w:pStyle w:val="Heading1"/>
      </w:pPr>
      <w:r>
        <w:rPr>
          <w:rStyle w:val="SectionNumber"/>
        </w:rPr>
        <w:t xml:space="preserve">9</w:t>
      </w:r>
      <w:r>
        <w:tab/>
      </w:r>
      <w:r>
        <w:t xml:space="preserve">Comparison with Alternative Approaches</w:t>
      </w:r>
    </w:p>
    <w:bookmarkStart w:id="45" w:name="full-gaussian-process-regression"/>
    <w:p>
      <w:pPr>
        <w:pStyle w:val="Heading2"/>
      </w:pPr>
      <w:r>
        <w:rPr>
          <w:rStyle w:val="SectionNumber"/>
        </w:rPr>
        <w:t xml:space="preserve">9.1</w:t>
      </w:r>
      <w:r>
        <w:tab/>
      </w:r>
      <w:r>
        <w:t xml:space="preserve">Full Gaussian Process Regression</w:t>
      </w:r>
    </w:p>
    <w:p>
      <w:pPr>
        <w:pStyle w:val="FirstParagraph"/>
      </w:pPr>
      <w:r>
        <w:t xml:space="preserve">GP regression provides the gold standard for spatial prediction under uncertainty. Its advantages include principled uncertainty quantification, automatic hyperparameter learning via marginal likelihood optimization, and exact recovery of spatial correlation structure through the kernel function. However, the</w:t>
      </w:r>
      <w:r>
        <w:t xml:space="preserve"> </w:t>
      </w:r>
      <m:oMath>
        <m:r>
          <m:t>O</m:t>
        </m:r>
        <m:r>
          <m:rPr>
            <m:sty m:val="p"/>
          </m:rPr>
          <m:t>(</m:t>
        </m:r>
        <m:sSup>
          <m:e>
            <m:r>
              <m:t>K</m:t>
            </m:r>
          </m:e>
          <m:sup>
            <m:r>
              <m:t>3</m:t>
            </m:r>
          </m:sup>
        </m:sSup>
        <m:r>
          <m:rPr>
            <m:sty m:val="p"/>
          </m:rPr>
          <m:t>)</m:t>
        </m:r>
      </m:oMath>
      <w:r>
        <w:t xml:space="preserve"> </w:t>
      </w:r>
      <w:r>
        <w:t xml:space="preserve">update cost after</w:t>
      </w:r>
      <w:r>
        <w:t xml:space="preserve"> </w:t>
      </w:r>
      <m:oMath>
        <m:r>
          <m:t>K</m:t>
        </m:r>
      </m:oMath>
      <w:r>
        <w:t xml:space="preserve"> </w:t>
      </w:r>
      <w:r>
        <w:t xml:space="preserve">observations is prohibitive on space-rated processors. A survey campaign generating 1,000 readings would require</w:t>
      </w:r>
      <w:r>
        <w:t xml:space="preserve"> </w:t>
      </w:r>
      <m:oMath>
        <m:sSup>
          <m:e>
            <m:r>
              <m:t>10</m:t>
            </m:r>
          </m:e>
          <m:sup>
            <m:r>
              <m:t>9</m:t>
            </m:r>
          </m:sup>
        </m:sSup>
      </m:oMath>
      <w:r>
        <w:t xml:space="preserve"> </w:t>
      </w:r>
      <w:r>
        <w:t xml:space="preserve">floating-point operations per update – seconds of wall time on a radiation-hardened processor clocked at 200 MHz. The SELENE grid trades global spatial coherence for constant-time updates, an acceptable compromise given that the footprint model partially recovers local spatial correlation.</w:t>
      </w:r>
    </w:p>
    <w:bookmarkEnd w:id="45"/>
    <w:bookmarkStart w:id="46" w:name="kriging-geostatistical-interpolation"/>
    <w:p>
      <w:pPr>
        <w:pStyle w:val="Heading2"/>
      </w:pPr>
      <w:r>
        <w:rPr>
          <w:rStyle w:val="SectionNumber"/>
        </w:rPr>
        <w:t xml:space="preserve">9.2</w:t>
      </w:r>
      <w:r>
        <w:tab/>
      </w:r>
      <w:r>
        <w:t xml:space="preserve">Kriging (Geostatistical Interpolation)</w:t>
      </w:r>
    </w:p>
    <w:p>
      <w:pPr>
        <w:pStyle w:val="FirstParagraph"/>
      </w:pPr>
      <w:r>
        <w:t xml:space="preserve">Ordinary Kriging is mathematically equivalent to GP regression with a specific class of kernels (variograms) and shares the same computational complexity. Universal Kriging extends the model with trend functions but does not reduce cost. The SELENE grid avoids Kriging’s variogram fitting step, which requires a sufficient density of observations to estimate the spatial correlation structure – a bootstrapping problem when the map is initially empty.</w:t>
      </w:r>
    </w:p>
    <w:bookmarkEnd w:id="46"/>
    <w:bookmarkStart w:id="47" w:name="simple-averaging"/>
    <w:p>
      <w:pPr>
        <w:pStyle w:val="Heading2"/>
      </w:pPr>
      <w:r>
        <w:rPr>
          <w:rStyle w:val="SectionNumber"/>
        </w:rPr>
        <w:t xml:space="preserve">9.3</w:t>
      </w:r>
      <w:r>
        <w:tab/>
      </w:r>
      <w:r>
        <w:t xml:space="preserve">Simple Averaging</w:t>
      </w:r>
    </w:p>
    <w:p>
      <w:pPr>
        <w:pStyle w:val="FirstParagraph"/>
      </w:pPr>
      <w:r>
        <w:t xml:space="preserve">A straightforward alternative is to assign each cell the arithmetic mean of all readings taken within some radius:</w:t>
      </w:r>
    </w:p>
    <w:p>
      <w:pPr>
        <w:pStyle w:val="BodyText"/>
      </w:pPr>
      <m:oMathPara>
        <m:oMathParaPr>
          <m:jc m:val="center"/>
        </m:oMathParaPr>
        <m:oMath>
          <m:sSub>
            <m:e>
              <m:acc>
                <m:accPr>
                  <m:chr m:val="̂"/>
                </m:accPr>
                <m:e>
                  <m:r>
                    <m:t>θ</m:t>
                  </m:r>
                </m:e>
              </m:acc>
            </m:e>
            <m:sub>
              <m:sSub>
                <m:e>
                  <m:r>
                    <m:t>g</m:t>
                  </m:r>
                </m:e>
                <m:sub>
                  <m:r>
                    <m:t>x</m:t>
                  </m:r>
                </m:sub>
              </m:sSub>
              <m:r>
                <m:rPr>
                  <m:sty m:val="p"/>
                </m:rPr>
                <m:t>,</m:t>
              </m:r>
              <m:sSub>
                <m:e>
                  <m:r>
                    <m:t>g</m:t>
                  </m:r>
                </m:e>
                <m:sub>
                  <m:r>
                    <m:t>y</m:t>
                  </m:r>
                </m:sub>
              </m:sSub>
            </m:sub>
          </m:sSub>
          <m:r>
            <m:rPr>
              <m:sty m:val="p"/>
            </m:rPr>
            <m:t>=</m:t>
          </m:r>
          <m:f>
            <m:fPr>
              <m:type m:val="bar"/>
            </m:fPr>
            <m:num>
              <m:r>
                <m:t>1</m:t>
              </m:r>
            </m:num>
            <m:den>
              <m:sSub>
                <m:e>
                  <m:r>
                    <m:t>K</m:t>
                  </m:r>
                </m:e>
                <m:sub>
                  <m:sSub>
                    <m:e>
                      <m:r>
                        <m:t>g</m:t>
                      </m:r>
                    </m:e>
                    <m:sub>
                      <m:r>
                        <m:t>x</m:t>
                      </m:r>
                    </m:sub>
                  </m:sSub>
                  <m:r>
                    <m:rPr>
                      <m:sty m:val="p"/>
                    </m:rPr>
                    <m:t>,</m:t>
                  </m:r>
                  <m:sSub>
                    <m:e>
                      <m:r>
                        <m:t>g</m:t>
                      </m:r>
                    </m:e>
                    <m:sub>
                      <m:r>
                        <m:t>y</m:t>
                      </m:r>
                    </m:sub>
                  </m:sSub>
                </m:sub>
              </m:sSub>
            </m:den>
          </m:f>
          <m:nary>
            <m:naryPr>
              <m:chr m:val="∑"/>
              <m:limLoc m:val="undOvr"/>
              <m:subHide m:val="off"/>
              <m:supHide m:val="off"/>
            </m:naryPr>
            <m:sub>
              <m:r>
                <m:t>k</m:t>
              </m:r>
              <m:r>
                <m:rPr>
                  <m:sty m:val="p"/>
                </m:rPr>
                <m:t>=</m:t>
              </m:r>
              <m:r>
                <m:t>1</m:t>
              </m:r>
            </m:sub>
            <m:sup>
              <m:sSub>
                <m:e>
                  <m:r>
                    <m:t>K</m:t>
                  </m:r>
                </m:e>
                <m:sub>
                  <m:sSub>
                    <m:e>
                      <m:r>
                        <m:t>g</m:t>
                      </m:r>
                    </m:e>
                    <m:sub>
                      <m:r>
                        <m:t>x</m:t>
                      </m:r>
                    </m:sub>
                  </m:sSub>
                  <m:r>
                    <m:rPr>
                      <m:sty m:val="p"/>
                    </m:rPr>
                    <m:t>,</m:t>
                  </m:r>
                  <m:sSub>
                    <m:e>
                      <m:r>
                        <m:t>g</m:t>
                      </m:r>
                    </m:e>
                    <m:sub>
                      <m:r>
                        <m:t>y</m:t>
                      </m:r>
                    </m:sub>
                  </m:sSub>
                </m:sub>
              </m:sSub>
            </m:sup>
            <m:e>
              <m:sSub>
                <m:e>
                  <m:r>
                    <m:t>z</m:t>
                  </m:r>
                </m:e>
                <m:sub>
                  <m:r>
                    <m:t>k</m:t>
                  </m:r>
                </m:sub>
              </m:sSub>
            </m:e>
          </m:nary>
        </m:oMath>
      </m:oMathPara>
    </w:p>
    <w:p>
      <w:pPr>
        <w:pStyle w:val="FirstParagraph"/>
      </w:pPr>
      <w:r>
        <w:t xml:space="preserve">While this yields a consistent estimator (by the law of large numbers), it has three deficiencies: (1) no uncertainty quantification – the planner cannot distinguish well-surveyed from poorly-surveyed regions; (2) equal weighting of all observations regardless of distance, ignoring the spatial sensitivity profile of the sensor; and (3) the prior plays no role, so cells with zero observations provide no information. The Bayesian approach addresses all three deficiencies while adding negligible computational overhead.</w:t>
      </w:r>
    </w:p>
    <w:bookmarkEnd w:id="47"/>
    <w:bookmarkStart w:id="48" w:name="binary-occupancy-grids"/>
    <w:p>
      <w:pPr>
        <w:pStyle w:val="Heading2"/>
      </w:pPr>
      <w:r>
        <w:rPr>
          <w:rStyle w:val="SectionNumber"/>
        </w:rPr>
        <w:t xml:space="preserve">9.4</w:t>
      </w:r>
      <w:r>
        <w:tab/>
      </w:r>
      <w:r>
        <w:t xml:space="preserve">Binary Occupancy Grids</w:t>
      </w:r>
    </w:p>
    <w:p>
      <w:pPr>
        <w:pStyle w:val="FirstParagraph"/>
      </w:pPr>
      <w:r>
        <w:t xml:space="preserve">The classical occupancy grid uses a Bernoulli model: each cell is</w:t>
      </w:r>
      <w:r>
        <w:t xml:space="preserve"> </w:t>
      </w:r>
      <w:r>
        <w:t xml:space="preserve">“occupied”</w:t>
      </w:r>
      <w:r>
        <w:t xml:space="preserve"> </w:t>
      </w:r>
      <w:r>
        <w:t xml:space="preserve">(ice present) or</w:t>
      </w:r>
      <w:r>
        <w:t xml:space="preserve"> </w:t>
      </w:r>
      <w:r>
        <w:t xml:space="preserve">“free”</w:t>
      </w:r>
      <w:r>
        <w:t xml:space="preserve"> </w:t>
      </w:r>
      <w:r>
        <w:t xml:space="preserve">(no ice), updated via log-odds. While computationally efficient (</w:t>
      </w:r>
      <m:oMath>
        <m:r>
          <m:t>O</m:t>
        </m:r>
        <m:r>
          <m:rPr>
            <m:sty m:val="p"/>
          </m:rPr>
          <m:t>(</m:t>
        </m:r>
        <m:r>
          <m:t>1</m:t>
        </m:r>
        <m:r>
          <m:rPr>
            <m:sty m:val="p"/>
          </m:rPr>
          <m:t>)</m:t>
        </m:r>
      </m:oMath>
      <w:r>
        <w:t xml:space="preserve"> </w:t>
      </w:r>
      <w:r>
        <w:t xml:space="preserve">per cell), binary occupancy grids cannot represent</w:t>
      </w:r>
      <w:r>
        <w:t xml:space="preserve"> </w:t>
      </w:r>
      <w:r>
        <w:rPr>
          <w:i/>
          <w:iCs/>
        </w:rPr>
        <w:t xml:space="preserve">concentration levels</w:t>
      </w:r>
      <w:r>
        <w:t xml:space="preserve"> </w:t>
      </w:r>
      <w:r>
        <w:t xml:space="preserve">– only presence or absence. For ISRU operations, knowing that a cell contains 5 wt% versus 0.5 wt% ice is critical for deciding whether extraction is economically viable. The Bayesian Gaussian grid extends the occupancy grid paradigm to continuous-valued estimation while preserving its computational efficiency.</w:t>
      </w:r>
    </w:p>
    <w:bookmarkEnd w:id="48"/>
    <w:bookmarkStart w:id="49" w:name="summary-of-trade-offs"/>
    <w:p>
      <w:pPr>
        <w:pStyle w:val="Heading2"/>
      </w:pPr>
      <w:r>
        <w:rPr>
          <w:rStyle w:val="SectionNumber"/>
        </w:rPr>
        <w:t xml:space="preserve">9.5</w:t>
      </w:r>
      <w:r>
        <w:tab/>
      </w:r>
      <w:r>
        <w:t xml:space="preserve">Summary of Trade-offs</w:t>
      </w:r>
    </w:p>
    <w:p>
      <w:pPr>
        <w:pStyle w:val="TableCaption"/>
      </w:pPr>
      <w:r>
        <w:t xml:space="preserve">Qualitative comparison of resource mapping approaches. The SELENE grid occupies a favorable position in the trade-off space for the constraints of onboard lunar robotics.</w:t>
      </w:r>
    </w:p>
    <w:tbl>
      <w:tblPr>
        <w:tblStyle w:val="Table"/>
        <w:tblW w:type="pct" w:w="5000"/>
        <w:tblLayout w:type="fixed"/>
        <w:tblLook w:firstRow="1" w:lastRow="0" w:firstColumn="0" w:lastColumn="0" w:noHBand="0" w:noVBand="0" w:val="0020"/>
        <w:tblCaption w:val="Qualitative comparison of resource mapping approaches. The SELENE grid occupies a favorable position in the trade-off space for the constraints of onboard lunar robotics."/>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Uncertainty</w:t>
            </w:r>
          </w:p>
        </w:tc>
        <w:tc>
          <w:tcPr/>
          <w:p>
            <w:pPr>
              <w:pStyle w:val="Compact"/>
            </w:pPr>
            <w:r>
              <w:t xml:space="preserve">Continuous</w:t>
            </w:r>
          </w:p>
        </w:tc>
        <w:tc>
          <w:tcPr/>
          <w:p>
            <w:pPr>
              <w:pStyle w:val="Compact"/>
            </w:pPr>
            <w:r>
              <w:t xml:space="preserve">Spatial corr.</w:t>
            </w:r>
          </w:p>
        </w:tc>
        <w:tc>
          <w:tcPr/>
          <w:p>
            <w:pPr>
              <w:pStyle w:val="Compact"/>
            </w:pPr>
            <m:oMath>
              <m:r>
                <m:t>O</m:t>
              </m:r>
              <m:r>
                <m:rPr>
                  <m:sty m:val="p"/>
                </m:rPr>
                <m:t>(</m:t>
              </m:r>
              <m:r>
                <m:t>1</m:t>
              </m:r>
              <m:r>
                <m:rPr>
                  <m:sty m:val="p"/>
                </m:rPr>
                <m:t>)</m:t>
              </m:r>
            </m:oMath>
            <w:r>
              <w:t xml:space="preserve"> </w:t>
            </w:r>
            <w:r>
              <w:t xml:space="preserve">update</w:t>
            </w:r>
          </w:p>
        </w:tc>
        <w:tc>
          <w:tcPr/>
          <w:p>
            <w:pPr>
              <w:pStyle w:val="Compact"/>
            </w:pPr>
            <w:r>
              <w:t xml:space="preserve">No hyperparams</w:t>
            </w:r>
          </w:p>
        </w:tc>
      </w:tr>
      <w:tr>
        <w:tc>
          <w:tcPr/>
          <w:p>
            <w:pPr>
              <w:pStyle w:val="Compact"/>
            </w:pPr>
            <w:r>
              <w:rPr>
                <w:b/>
                <w:bCs/>
              </w:rPr>
              <w:t xml:space="preserve">SELENE grid</w:t>
            </w:r>
          </w:p>
        </w:tc>
        <w:tc>
          <w:tcPr/>
          <w:p>
            <w:pPr>
              <w:pStyle w:val="Compact"/>
            </w:pPr>
            <w:r>
              <w:t xml:space="preserve">Yes</w:t>
            </w:r>
          </w:p>
        </w:tc>
        <w:tc>
          <w:tcPr/>
          <w:p>
            <w:pPr>
              <w:pStyle w:val="Compact"/>
            </w:pPr>
            <w:r>
              <w:t xml:space="preserve">Yes</w:t>
            </w:r>
          </w:p>
        </w:tc>
        <w:tc>
          <w:tcPr/>
          <w:p>
            <w:pPr>
              <w:pStyle w:val="Compact"/>
            </w:pPr>
            <w:r>
              <w:t xml:space="preserve">Local</w:t>
            </w:r>
          </w:p>
        </w:tc>
        <w:tc>
          <w:tcPr/>
          <w:p>
            <w:pPr>
              <w:pStyle w:val="Compact"/>
            </w:pPr>
            <w:r>
              <w:t xml:space="preserve">Yes</w:t>
            </w:r>
          </w:p>
        </w:tc>
        <w:tc>
          <w:tcPr/>
          <w:p>
            <w:pPr>
              <w:pStyle w:val="Compact"/>
            </w:pPr>
            <w:r>
              <w:t xml:space="preserve">Yes</w:t>
            </w:r>
          </w:p>
        </w:tc>
      </w:tr>
      <w:tr>
        <w:tc>
          <w:tcPr/>
          <w:p>
            <w:pPr>
              <w:pStyle w:val="Compact"/>
            </w:pPr>
            <w:r>
              <w:t xml:space="preserve">Full GP</w:t>
            </w:r>
          </w:p>
        </w:tc>
        <w:tc>
          <w:tcPr/>
          <w:p>
            <w:pPr>
              <w:pStyle w:val="Compact"/>
            </w:pPr>
            <w:r>
              <w:t xml:space="preserve">Yes</w:t>
            </w:r>
          </w:p>
        </w:tc>
        <w:tc>
          <w:tcPr/>
          <w:p>
            <w:pPr>
              <w:pStyle w:val="Compact"/>
            </w:pPr>
            <w:r>
              <w:t xml:space="preserve">Yes</w:t>
            </w:r>
          </w:p>
        </w:tc>
        <w:tc>
          <w:tcPr/>
          <w:p>
            <w:pPr>
              <w:pStyle w:val="Compact"/>
            </w:pPr>
            <w:r>
              <w:t xml:space="preserve">Global</w:t>
            </w:r>
          </w:p>
        </w:tc>
        <w:tc>
          <w:tcPr/>
          <w:p>
            <w:pPr>
              <w:pStyle w:val="Compact"/>
            </w:pPr>
            <w:r>
              <w:t xml:space="preserve">No</w:t>
            </w:r>
          </w:p>
        </w:tc>
        <w:tc>
          <w:tcPr/>
          <w:p>
            <w:pPr>
              <w:pStyle w:val="Compact"/>
            </w:pPr>
            <w:r>
              <w:t xml:space="preserve">No</w:t>
            </w:r>
          </w:p>
        </w:tc>
      </w:tr>
      <w:tr>
        <w:tc>
          <w:tcPr/>
          <w:p>
            <w:pPr>
              <w:pStyle w:val="Compact"/>
            </w:pPr>
            <w:r>
              <w:t xml:space="preserve">Kriging</w:t>
            </w:r>
          </w:p>
        </w:tc>
        <w:tc>
          <w:tcPr/>
          <w:p>
            <w:pPr>
              <w:pStyle w:val="Compact"/>
            </w:pPr>
            <w:r>
              <w:t xml:space="preserve">Yes</w:t>
            </w:r>
          </w:p>
        </w:tc>
        <w:tc>
          <w:tcPr/>
          <w:p>
            <w:pPr>
              <w:pStyle w:val="Compact"/>
            </w:pPr>
            <w:r>
              <w:t xml:space="preserve">Yes</w:t>
            </w:r>
          </w:p>
        </w:tc>
        <w:tc>
          <w:tcPr/>
          <w:p>
            <w:pPr>
              <w:pStyle w:val="Compact"/>
            </w:pPr>
            <w:r>
              <w:t xml:space="preserve">Global</w:t>
            </w:r>
          </w:p>
        </w:tc>
        <w:tc>
          <w:tcPr/>
          <w:p>
            <w:pPr>
              <w:pStyle w:val="Compact"/>
            </w:pPr>
            <w:r>
              <w:t xml:space="preserve">No</w:t>
            </w:r>
          </w:p>
        </w:tc>
        <w:tc>
          <w:tcPr/>
          <w:p>
            <w:pPr>
              <w:pStyle w:val="Compact"/>
            </w:pPr>
            <w:r>
              <w:t xml:space="preserve">No</w:t>
            </w:r>
          </w:p>
        </w:tc>
      </w:tr>
      <w:tr>
        <w:tc>
          <w:tcPr/>
          <w:p>
            <w:pPr>
              <w:pStyle w:val="Compact"/>
            </w:pPr>
            <w:r>
              <w:t xml:space="preserve">Simple average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Occupancy grid</w:t>
            </w:r>
          </w:p>
        </w:tc>
        <w:tc>
          <w:tcPr/>
          <w:p>
            <w:pPr>
              <w:pStyle w:val="Compact"/>
            </w:pPr>
            <w:r>
              <w:t xml:space="preserve">Yes</w:t>
            </w:r>
          </w:p>
        </w:tc>
        <w:tc>
          <w:tcPr/>
          <w:p>
            <w:pPr>
              <w:pStyle w:val="Compact"/>
            </w:pPr>
            <w:r>
              <w:t xml:space="preserve">No</w:t>
            </w:r>
          </w:p>
        </w:tc>
        <w:tc>
          <w:tcPr/>
          <w:p>
            <w:pPr>
              <w:pStyle w:val="Compact"/>
            </w:pPr>
            <w:r>
              <w:t xml:space="preserve">Local</w:t>
            </w:r>
          </w:p>
        </w:tc>
        <w:tc>
          <w:tcPr/>
          <w:p>
            <w:pPr>
              <w:pStyle w:val="Compact"/>
            </w:pPr>
            <w:r>
              <w:t xml:space="preserve">Yes</w:t>
            </w:r>
          </w:p>
        </w:tc>
        <w:tc>
          <w:tcPr/>
          <w:p>
            <w:pPr>
              <w:pStyle w:val="Compact"/>
            </w:pPr>
            <w:r>
              <w:t xml:space="preserve">Yes</w:t>
            </w:r>
          </w:p>
        </w:tc>
      </w:tr>
    </w:tbl>
    <w:bookmarkEnd w:id="49"/>
    <w:bookmarkEnd w:id="50"/>
    <w:bookmarkStart w:id="51" w:name="related-work"/>
    <w:p>
      <w:pPr>
        <w:pStyle w:val="Heading1"/>
      </w:pPr>
      <w:r>
        <w:rPr>
          <w:rStyle w:val="SectionNumber"/>
        </w:rPr>
        <w:t xml:space="preserve">10</w:t>
      </w:r>
      <w:r>
        <w:tab/>
      </w:r>
      <w:r>
        <w:t xml:space="preserve">Related Work</w:t>
      </w:r>
    </w:p>
    <w:p>
      <w:pPr>
        <w:pStyle w:val="FirstParagraph"/>
      </w:pPr>
      <w:r>
        <w:t xml:space="preserve">Probabilistic mapping for planetary robotics has roots in the Mars exploration program. Arvidson et al. (2006) used geostatistical methods to interpolate Opportunity rover spectral data, but relied on ground-based processing rather than onboard computation. Candela et al. (2022) applied GP regression for terrain-aware path planning in planetary environments, demonstrating the value of uncertainty quantification but assuming terrestrial compute resources for training.</w:t>
      </w:r>
    </w:p>
    <w:p>
      <w:pPr>
        <w:pStyle w:val="BodyText"/>
      </w:pPr>
      <w:r>
        <w:t xml:space="preserve">The occupancy grid framework of Moravec and Elfes (1985) and its probabilistic extensions by Thrun et al. (2005) underpin most modern SLAM systems. SELENE’s resource map adapts this paradigm from binary occupancy to continuous resource concentration.</w:t>
      </w:r>
    </w:p>
    <w:p>
      <w:pPr>
        <w:pStyle w:val="BodyText"/>
      </w:pPr>
      <w:r>
        <w:t xml:space="preserve">In the multi-robot mapping literature, Jadidi et al. (2014) proposed mutual information-based exploration for efficient map building, while Hollinger and Sukhatme (2014) formalized informative path planning under GP models. These approaches assume centralized GP inference, whereas SELENE’s grid fusion enables decentralized updates from multiple robots without model synchronization.</w:t>
      </w:r>
    </w:p>
    <w:p>
      <w:pPr>
        <w:pStyle w:val="BodyText"/>
      </w:pPr>
      <w:r>
        <w:t xml:space="preserve">Specifically for lunar ISRU, NASA’s CADRE mission (Toupet et al., 2025) employs shared mapping for multi-robot coordination but focuses on geometric terrain mapping rather than subsurface resource estimation. The NASA SRCP2 competition (2019–2021) required teams to locate volatile deposits in simulation but did not mandate probabilistic mapping or uncertainty-driven survey planning.</w:t>
      </w:r>
    </w:p>
    <w:p>
      <w:pPr>
        <w:pStyle w:val="BodyText"/>
      </w:pPr>
      <w:r>
        <w:t xml:space="preserve">Recent work on informative path planning for planetary surfaces (Mukherjee et al., 2025) proposes GP-based mapping with sparse approximations. While more principled in its treatment of spatial correlation, the approach has not been demonstrated under the computational constraints of space-rated hardware. SELENE’s grid fusion can be viewed as a maximally sparse approximation that trades global coherence for guaranteed constant-time updates.</w:t>
      </w:r>
    </w:p>
    <w:p>
      <w:pPr>
        <w:pStyle w:val="BodyText"/>
      </w:pPr>
      <w:r>
        <w:t xml:space="preserve">Sensorium (Candela et al., 2023) developed Bayesian approaches for terrain understanding in the context of the Mars 2020 mission, demonstrating that probabilistic spatial models improve both scientific return and operational safety. Our approach shares the Bayesian philosophy but is tailored to the specific requirements of resource concentration mapping rather than terrain classification.</w:t>
      </w:r>
    </w:p>
    <w:bookmarkEnd w:id="51"/>
    <w:bookmarkStart w:id="52" w:name="conclusion"/>
    <w:p>
      <w:pPr>
        <w:pStyle w:val="Heading1"/>
      </w:pPr>
      <w:r>
        <w:rPr>
          <w:rStyle w:val="SectionNumber"/>
        </w:rPr>
        <w:t xml:space="preserve">11</w:t>
      </w:r>
      <w:r>
        <w:tab/>
      </w:r>
      <w:r>
        <w:t xml:space="preserve">Conclusion</w:t>
      </w:r>
    </w:p>
    <w:p>
      <w:pPr>
        <w:pStyle w:val="FirstParagraph"/>
      </w:pPr>
      <w:r>
        <w:t xml:space="preserve">We have presented a Bayesian spatial grid fusion algorithm for probabilistic resource mapping in lunar ISRU operations. The method maintains a conjugate Gaussian posterior at each cell of a discrete spatial grid, updating all cells within a distance-decayed footprint upon each sensor reading. The conjugate structure yields closed-form updates with three key properties: (1) constant-time cost per observation, independent of the number of prior readings; (2) monotonically decreasing posterior variance, ensuring that additional observations always improve the estimate; and (3) direct integration with downstream planning through the uncertainty-penalized site selection score.</w:t>
      </w:r>
    </w:p>
    <w:p>
      <w:pPr>
        <w:pStyle w:val="BodyText"/>
      </w:pPr>
      <w:r>
        <w:t xml:space="preserve">The spatial footprint model with Gaussian weight decay provides a physically motivated approximation to the sensor’s spatial sensitivity, partially recovering inter-cell correlation without the computational cost of full Gaussian process inference. The fixed</w:t>
      </w:r>
      <w:r>
        <w:t xml:space="preserve"> </w:t>
      </w:r>
      <m:oMath>
        <m:r>
          <m:t>4.8</m:t>
        </m:r>
      </m:oMath>
      <w:r>
        <w:t xml:space="preserve"> </w:t>
      </w:r>
      <w:r>
        <w:t xml:space="preserve">MB memory footprint and deterministic execution time make the algorithm suitable for deployment on radiation-hardened processors.</w:t>
      </w:r>
    </w:p>
    <w:p>
      <w:pPr>
        <w:pStyle w:val="BodyText"/>
      </w:pPr>
      <w:r>
        <w:t xml:space="preserve">Within the SELENE system, the resource map serves as the central shared state driving both the adaptive survey planner (which directs scouts toward high-uncertainty regions) and the HTN planner (which selects extraction sites based on the uncertainty-penalized concentration score). This tight integration between probabilistic mapping and task planning enables a closed-loop ISRU pipeline from prospecting through extraction.</w:t>
      </w:r>
    </w:p>
    <w:p>
      <w:pPr>
        <w:pStyle w:val="BodyText"/>
      </w:pPr>
      <w:r>
        <w:t xml:space="preserve">Future work will extend the grid to three dimensions (incorporating depth-dependent ice concentration profiles from multi-frequency neutron spectrometry), investigate online kernel hyperparameter adaptation to relax the fixed footprint assumption, and evaluate the algorithm against orbital data products from the Lunar Prospector and LRO missions to establish baseline priors informed by real selenological observations.</w:t>
      </w:r>
    </w:p>
    <w:bookmarkEnd w:id="52"/>
    <w:bookmarkStart w:id="53" w:name="references"/>
    <w:p>
      <w:pPr>
        <w:pStyle w:val="Heading1"/>
      </w:pPr>
      <w:r>
        <w:rPr>
          <w:rStyle w:val="SectionNumber"/>
        </w:rPr>
        <w:t xml:space="preserve">12</w:t>
      </w:r>
      <w:r>
        <w:tab/>
      </w:r>
      <w:r>
        <w:t xml:space="preserve">References</w:t>
      </w:r>
    </w:p>
    <w:p>
      <w:pPr>
        <w:numPr>
          <w:ilvl w:val="0"/>
          <w:numId w:val="1003"/>
        </w:numPr>
      </w:pPr>
      <w:r>
        <w:t xml:space="preserve">H. Moravec and A. Elfes,</w:t>
      </w:r>
      <w:r>
        <w:t xml:space="preserve"> </w:t>
      </w:r>
      <w:r>
        <w:t xml:space="preserve">“High resolution maps from wide angle sonar,”</w:t>
      </w:r>
      <w:r>
        <w:t xml:space="preserve"> </w:t>
      </w:r>
      <w:r>
        <w:t xml:space="preserve">in</w:t>
      </w:r>
      <w:r>
        <w:t xml:space="preserve"> </w:t>
      </w:r>
      <w:r>
        <w:rPr>
          <w:i/>
          <w:iCs/>
        </w:rPr>
        <w:t xml:space="preserve">Proc. IEEE Int. Conf. Robotics and Automation</w:t>
      </w:r>
      <w:r>
        <w:t xml:space="preserve">, pp. 116–121, 1985.</w:t>
      </w:r>
    </w:p>
    <w:p>
      <w:pPr>
        <w:numPr>
          <w:ilvl w:val="0"/>
          <w:numId w:val="1003"/>
        </w:numPr>
      </w:pPr>
      <w:r>
        <w:t xml:space="preserve">S. Thrun, W. Burgard, and D. Fox,</w:t>
      </w:r>
      <w:r>
        <w:t xml:space="preserve"> </w:t>
      </w:r>
      <w:r>
        <w:rPr>
          <w:i/>
          <w:iCs/>
        </w:rPr>
        <w:t xml:space="preserve">Probabilistic Robotics</w:t>
      </w:r>
      <w:r>
        <w:t xml:space="preserve">, MIT Press, 2005.</w:t>
      </w:r>
    </w:p>
    <w:p>
      <w:pPr>
        <w:numPr>
          <w:ilvl w:val="0"/>
          <w:numId w:val="1003"/>
        </w:numPr>
      </w:pPr>
      <w:r>
        <w:t xml:space="preserve">C. E. Rasmussen and C. K. I. Williams,</w:t>
      </w:r>
      <w:r>
        <w:t xml:space="preserve"> </w:t>
      </w:r>
      <w:r>
        <w:rPr>
          <w:i/>
          <w:iCs/>
        </w:rPr>
        <w:t xml:space="preserve">Gaussian Processes for Machine Learning</w:t>
      </w:r>
      <w:r>
        <w:t xml:space="preserve">, MIT Press, 2006.</w:t>
      </w:r>
    </w:p>
    <w:p>
      <w:pPr>
        <w:numPr>
          <w:ilvl w:val="0"/>
          <w:numId w:val="1003"/>
        </w:numPr>
      </w:pPr>
      <w:r>
        <w:t xml:space="preserve">R. Arvidson et al.,</w:t>
      </w:r>
      <w:r>
        <w:t xml:space="preserve"> </w:t>
      </w:r>
      <w:r>
        <w:t xml:space="preserve">“Overview of the Spirit Mars Exploration Rover Mission to Gusev Crater: Landing site to Backstay Rock in the Columbia Hills,”</w:t>
      </w:r>
      <w:r>
        <w:t xml:space="preserve"> </w:t>
      </w:r>
      <w:r>
        <w:rPr>
          <w:i/>
          <w:iCs/>
        </w:rPr>
        <w:t xml:space="preserve">J. Geophys. Research</w:t>
      </w:r>
      <w:r>
        <w:t xml:space="preserve">, vol. 111, 2006.</w:t>
      </w:r>
    </w:p>
    <w:p>
      <w:pPr>
        <w:numPr>
          <w:ilvl w:val="0"/>
          <w:numId w:val="1003"/>
        </w:numPr>
      </w:pPr>
      <w:r>
        <w:t xml:space="preserve">A. Candela et al.,</w:t>
      </w:r>
      <w:r>
        <w:t xml:space="preserve"> </w:t>
      </w:r>
      <w:r>
        <w:t xml:space="preserve">“Gaussian Process-Based Traversability Analysis for Terrain Modeling,”</w:t>
      </w:r>
      <w:r>
        <w:t xml:space="preserve"> </w:t>
      </w:r>
      <w:r>
        <w:t xml:space="preserve">in</w:t>
      </w:r>
      <w:r>
        <w:t xml:space="preserve"> </w:t>
      </w:r>
      <w:r>
        <w:rPr>
          <w:i/>
          <w:iCs/>
        </w:rPr>
        <w:t xml:space="preserve">Proc. IEEE/RSJ Int. Conf. Intelligent Robots and Systems</w:t>
      </w:r>
      <w:r>
        <w:t xml:space="preserve">, 2022.</w:t>
      </w:r>
    </w:p>
    <w:p>
      <w:pPr>
        <w:numPr>
          <w:ilvl w:val="0"/>
          <w:numId w:val="1003"/>
        </w:numPr>
      </w:pPr>
      <w:r>
        <w:t xml:space="preserve">M. G. Jadidi et al.,</w:t>
      </w:r>
      <w:r>
        <w:t xml:space="preserve"> </w:t>
      </w:r>
      <w:r>
        <w:t xml:space="preserve">“Exploration in information distribution maps,”</w:t>
      </w:r>
      <w:r>
        <w:t xml:space="preserve"> </w:t>
      </w:r>
      <w:r>
        <w:t xml:space="preserve">in</w:t>
      </w:r>
      <w:r>
        <w:t xml:space="preserve"> </w:t>
      </w:r>
      <w:r>
        <w:rPr>
          <w:i/>
          <w:iCs/>
        </w:rPr>
        <w:t xml:space="preserve">Proc. RSS Workshop on Robotic Exploration, Monitoring, and Information Gathering</w:t>
      </w:r>
      <w:r>
        <w:t xml:space="preserve">, 2014.</w:t>
      </w:r>
    </w:p>
    <w:p>
      <w:pPr>
        <w:numPr>
          <w:ilvl w:val="0"/>
          <w:numId w:val="1003"/>
        </w:numPr>
      </w:pPr>
      <w:r>
        <w:t xml:space="preserve">G. A. Hollinger and G. S. Sukhatme,</w:t>
      </w:r>
      <w:r>
        <w:t xml:space="preserve"> </w:t>
      </w:r>
      <w:r>
        <w:t xml:space="preserve">“Sampling-based robotic information gathering algorithms,”</w:t>
      </w:r>
      <w:r>
        <w:t xml:space="preserve"> </w:t>
      </w:r>
      <w:r>
        <w:rPr>
          <w:i/>
          <w:iCs/>
        </w:rPr>
        <w:t xml:space="preserve">Int. J. Robotics Research</w:t>
      </w:r>
      <w:r>
        <w:t xml:space="preserve">, vol. 33, no. 9, pp. 1271–1287, 2014.</w:t>
      </w:r>
    </w:p>
    <w:p>
      <w:pPr>
        <w:numPr>
          <w:ilvl w:val="0"/>
          <w:numId w:val="1003"/>
        </w:numPr>
      </w:pPr>
      <w:r>
        <w:t xml:space="preserve">O. Toupet et al.,</w:t>
      </w:r>
      <w:r>
        <w:t xml:space="preserve"> </w:t>
      </w:r>
      <w:r>
        <w:t xml:space="preserve">“CADRE: Planning, Scheduling, and Execution for Multi-Robot Lunar Exploration,”</w:t>
      </w:r>
      <w:r>
        <w:t xml:space="preserve"> </w:t>
      </w:r>
      <w:r>
        <w:rPr>
          <w:i/>
          <w:iCs/>
        </w:rPr>
        <w:t xml:space="preserve">arXiv:2502.14803</w:t>
      </w:r>
      <w:r>
        <w:t xml:space="preserve">, 2025.</w:t>
      </w:r>
    </w:p>
    <w:p>
      <w:pPr>
        <w:numPr>
          <w:ilvl w:val="0"/>
          <w:numId w:val="1003"/>
        </w:numPr>
      </w:pPr>
      <w:r>
        <w:t xml:space="preserve">S. Mukherjee et al.,</w:t>
      </w:r>
      <w:r>
        <w:t xml:space="preserve"> </w:t>
      </w:r>
      <w:r>
        <w:t xml:space="preserve">“Informative Path Planning to Explore and Map Unknown Planetary Surfaces,”</w:t>
      </w:r>
      <w:r>
        <w:t xml:space="preserve"> </w:t>
      </w:r>
      <w:r>
        <w:rPr>
          <w:i/>
          <w:iCs/>
        </w:rPr>
        <w:t xml:space="preserve">arXiv:2503.16613</w:t>
      </w:r>
      <w:r>
        <w:t xml:space="preserve">, 2025.</w:t>
      </w:r>
    </w:p>
    <w:p>
      <w:pPr>
        <w:numPr>
          <w:ilvl w:val="0"/>
          <w:numId w:val="1003"/>
        </w:numPr>
      </w:pPr>
      <w:r>
        <w:t xml:space="preserve">G. Sanders et al.,</w:t>
      </w:r>
      <w:r>
        <w:t xml:space="preserve"> </w:t>
      </w:r>
      <w:r>
        <w:t xml:space="preserve">“Progress Review: NASA In-Situ Resource Utilization (ISRU) Development &amp; Incorporation – 2019 to 2025,”</w:t>
      </w:r>
      <w:r>
        <w:t xml:space="preserve"> </w:t>
      </w:r>
      <w:r>
        <w:rPr>
          <w:i/>
          <w:iCs/>
        </w:rPr>
        <w:t xml:space="preserve">NASA Technical Memorandum</w:t>
      </w:r>
      <w:r>
        <w:t xml:space="preserve">, 2025.</w:t>
      </w:r>
    </w:p>
    <w:p>
      <w:pPr>
        <w:numPr>
          <w:ilvl w:val="0"/>
          <w:numId w:val="1003"/>
        </w:numPr>
      </w:pPr>
      <w:r>
        <w:t xml:space="preserve">D. Nau et al.,</w:t>
      </w:r>
      <w:r>
        <w:t xml:space="preserve"> </w:t>
      </w:r>
      <w:r>
        <w:t xml:space="preserve">“SHOP2: An HTN Planning System,”</w:t>
      </w:r>
      <w:r>
        <w:t xml:space="preserve"> </w:t>
      </w:r>
      <w:r>
        <w:rPr>
          <w:i/>
          <w:iCs/>
        </w:rPr>
        <w:t xml:space="preserve">J. Artificial Intelligence Research</w:t>
      </w:r>
      <w:r>
        <w:t xml:space="preserve">, vol. 20, pp. 379–404, 2003.</w:t>
      </w:r>
    </w:p>
    <w:p>
      <w:pPr>
        <w:numPr>
          <w:ilvl w:val="0"/>
          <w:numId w:val="1003"/>
        </w:numPr>
      </w:pPr>
      <w:r>
        <w:t xml:space="preserve">R. Zlot and A. Stentz,</w:t>
      </w:r>
      <w:r>
        <w:t xml:space="preserve"> </w:t>
      </w:r>
      <w:r>
        <w:t xml:space="preserve">“Market-Based Multirobot Coordination for Complex Tasks,”</w:t>
      </w:r>
      <w:r>
        <w:t xml:space="preserve"> </w:t>
      </w:r>
      <w:r>
        <w:rPr>
          <w:i/>
          <w:iCs/>
        </w:rPr>
        <w:t xml:space="preserve">Int. J. Robotics Research</w:t>
      </w:r>
      <w:r>
        <w:t xml:space="preserve">, vol. 25, no. 1, pp. 73–101, 2006.</w:t>
      </w:r>
    </w:p>
    <w:p>
      <w:pPr>
        <w:numPr>
          <w:ilvl w:val="0"/>
          <w:numId w:val="1003"/>
        </w:numPr>
      </w:pPr>
      <w:r>
        <w:t xml:space="preserve">A. Candela et al.,</w:t>
      </w:r>
      <w:r>
        <w:t xml:space="preserve"> </w:t>
      </w:r>
      <w:r>
        <w:t xml:space="preserve">“Sensorium: A Multi-Sensor Lower-Bound Perception System for Autonomous Driving,”</w:t>
      </w:r>
      <w:r>
        <w:t xml:space="preserve"> </w:t>
      </w:r>
      <w:r>
        <w:t xml:space="preserve">in</w:t>
      </w:r>
      <w:r>
        <w:t xml:space="preserve"> </w:t>
      </w:r>
      <w:r>
        <w:rPr>
          <w:i/>
          <w:iCs/>
        </w:rPr>
        <w:t xml:space="preserve">Proc. IEEE Int. Conf. Robotics and Automation</w:t>
      </w:r>
      <w:r>
        <w:t xml:space="preserve">, 2023.</w:t>
      </w:r>
    </w:p>
    <w:p>
      <w:pPr>
        <w:numPr>
          <w:ilvl w:val="0"/>
          <w:numId w:val="1003"/>
        </w:numPr>
      </w:pPr>
      <w:r>
        <w:t xml:space="preserve">“Multi-robot cooperation for lunar In-Situ resource utilization,”</w:t>
      </w:r>
      <w:r>
        <w:t xml:space="preserve"> </w:t>
      </w:r>
      <w:r>
        <w:rPr>
          <w:i/>
          <w:iCs/>
        </w:rPr>
        <w:t xml:space="preserve">Frontiers in Robotics and AI</w:t>
      </w:r>
      <w:r>
        <w:t xml:space="preserve">, vol. 10, 2023.</w:t>
      </w:r>
    </w:p>
    <w:p>
      <w:pPr>
        <w:numPr>
          <w:ilvl w:val="0"/>
          <w:numId w:val="1003"/>
        </w:numPr>
      </w:pPr>
      <w:r>
        <w:t xml:space="preserve">N. Cressie,</w:t>
      </w:r>
      <w:r>
        <w:t xml:space="preserve"> </w:t>
      </w:r>
      <w:r>
        <w:rPr>
          <w:i/>
          <w:iCs/>
        </w:rPr>
        <w:t xml:space="preserve">Statistics for Spatial Data</w:t>
      </w:r>
      <w:r>
        <w:t xml:space="preserve">, Wiley, revised ed., 1993.</w:t>
      </w:r>
    </w:p>
    <w:p>
      <w:pPr>
        <w:numPr>
          <w:ilvl w:val="0"/>
          <w:numId w:val="1003"/>
        </w:numPr>
      </w:pPr>
      <w:r>
        <w:t xml:space="preserve">M. Cowan et al.,</w:t>
      </w:r>
      <w:r>
        <w:t xml:space="preserve"> </w:t>
      </w:r>
      <w:r>
        <w:t xml:space="preserve">“LunarMiner: A Nature-Inspired Swarm Robotics Framework for Lunar Water Ice Extraction,”</w:t>
      </w:r>
      <w:r>
        <w:t xml:space="preserve"> </w:t>
      </w:r>
      <w:r>
        <w:rPr>
          <w:i/>
          <w:iCs/>
        </w:rPr>
        <w:t xml:space="preserve">Biomimetics</w:t>
      </w:r>
      <w:r>
        <w:t xml:space="preserve">, vol. 9, no. 11, 2024.</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Spatial Grid Fusion with Distance-Decayed Footprint for Lunar Resource Mapping</dc:title>
  <dc:creator>SELENE Project</dc:creator>
  <cp:keywords/>
  <dcterms:created xsi:type="dcterms:W3CDTF">2026-04-06T04:37:47Z</dcterms:created>
  <dcterms:modified xsi:type="dcterms:W3CDTF">2026-04-06T04:37:47Z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lunar In-Situ Resource Utilization (ISRU) requires robots to build and maintain probabilistic maps of subsurface water ice concentration from noisy, spatially sparse neutron spectrometer readings. Full Gaussian process regression, the standard approach for spatial prediction under uncertainty, is computationally intractable on space-rated processors due to its cubic scaling in the number of observations. We present a Bayesian spatial grid fusion algorithm that maintains a conjugate Gaussian posterior over each cell of a discrete spatial grid and propagates each sensor reading to neighboring cells through a distance-decayed Gaussian footprint kernel. The method achieves constant-time updates per observation, monotonically reduces posterior variance, and integrates directly with downstream task planning via an uncertainty-penalized site selection score. We derive the conjugate update equations, analyze the spatial footprint model, establish computational complexity bounds, and compare the approach against Kriging, simple averaging, and binary occupancy grids. The algorithm is implemented and validated within the SELENE fleet management system.</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WP-03</vt:lpwstr>
  </property>
</Properties>
</file>