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13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1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INFORME TÉCNICO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SISTEMA DE COLORES Y TIPOGRAFÍA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 - Plataforma de Salud Geolocalizada y Agendamiento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Institución: Pontificia Universidad Católica del Ecuador (PUCE)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Carrera: Ingeniería en Desarrollo de Software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Asignatura: Diseño de Experiencia de Usuario e Interfaces (UX/UI)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Docente: Ing. Andrés Ayala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Integrantes: Isaac Unapucha y Justin Cedeño</w:t>
      </w:r>
    </w:p>
    <w:p>
      <w:pPr>
        <w:spacing w:before="0" w:after="0" w:line="48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Fecha de entrega: 30 de agosto de 2026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Introducción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sistema visual de Vectra Cure define una identidad clínica moderna, sobria y confiable para una plataforma que conecta pacientes con especialistas geolocalizados. La paleta y la tipografía se diseñan como tokens reutilizables para mantener consistencia entre la Landing Page, el explorador con mapa, las tarjetas médicas, los paneles laterales, los modales de reserva y los estados de confirmación.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Este documento toma como referencia la estructura académica de definición de color y tipografía proporcionada por el equipo, y la adapta a las decisiones oficiales de Vectra Cure: azul como color primario, slate oscuro como color secundario, verde menta como acento y una jerarquía tipográfica compuesta por Plus Jakarta Sans e Inter.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Principios del lenguaje visual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Confianza clínica: los azules comunican seguridad, tecnología y estabilidad sin adoptar una apariencia hospitalaria fría.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Claridad informativa: los tonos slate ordenan títulos, datos, bordes y superficies con una jerarquía legible.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Acción y confirmación: el verde menta destaca verificación, disponibilidad y resultados exitosos.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Serenidad visual: fondos claros u oscuros, espacios amplios y contraste controlado sostienen la estética Apple Desktop.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Consistencia temática: los tokens semánticos conservan el mismo significado en modo claro y modo oscuro, aunque cambie su valor cromático.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Colores principales de marca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123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893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Muestra</w:t>
            </w:r>
          </w:p>
        </w:tc>
        <w:tc>
          <w:tcPr>
            <w:tcW w:type="dxa" w:w="175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Nombre / token</w:t>
            </w:r>
          </w:p>
        </w:tc>
        <w:tc>
          <w:tcPr>
            <w:tcW w:type="dxa" w:w="1181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208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Uso</w:t>
            </w:r>
          </w:p>
        </w:tc>
        <w:tc>
          <w:tcPr>
            <w:tcW w:type="dxa" w:w="231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Primario</w:t>
            </w:r>
          </w:p>
        </w:tc>
        <w:tc>
          <w:tcPr>
            <w:tcW w:type="dxa" w:w="893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Sky Blue / primary-blue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#0284C7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CTA, enlaces activos, pines del mapa y selección.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Representa confianza, precisión tecnológica y orientación.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Primario hover</w:t>
            </w:r>
          </w:p>
        </w:tc>
        <w:tc>
          <w:tcPr>
            <w:tcW w:type="dxa" w:w="893"/>
            <w:shd w:fill="0369A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Sky 700 / primary-dark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#0369A1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Hover, presión y encabezados de alto contraste.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Aporta profundidad y confirma la interacción.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Secundario</w:t>
            </w:r>
          </w:p>
        </w:tc>
        <w:tc>
          <w:tcPr>
            <w:tcW w:type="dxa" w:w="893"/>
            <w:shd w:fill="0F172A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Slate Dark / secondary-ink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#0F172A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Texto principal, títulos, navegación oscura y superficies inversas.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Refuerza autoridad, legibilidad y sobriedad clínica.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Acento</w:t>
            </w:r>
          </w:p>
        </w:tc>
        <w:tc>
          <w:tcPr>
            <w:tcW w:type="dxa" w:w="893"/>
            <w:shd w:fill="10B98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Mint / accent-mint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#10B981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Especialista Verificado, Abierto Ahora y confirmaciones.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Comunica seguridad, disponibilidad y resultado positivo.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Acento suave</w:t>
            </w:r>
          </w:p>
        </w:tc>
        <w:tc>
          <w:tcPr>
            <w:tcW w:type="dxa" w:w="893"/>
            <w:shd w:fill="D1FAE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Mint Light / accent-light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#D1FAE5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Fondos de badges, chips y mensajes de éxito.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Mantiene visibilidad sin competir con la acción primaria.</w:t>
            </w:r>
          </w:p>
        </w:tc>
      </w:tr>
      <w:tr>
        <w:tc>
          <w:tcPr>
            <w:tcW w:type="dxa" w:w="1123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Neutro base</w:t>
            </w:r>
          </w:p>
        </w:tc>
        <w:tc>
          <w:tcPr>
            <w:tcW w:type="dxa" w:w="893"/>
            <w:shd w:fill="F8FA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30"/>
              </w:rPr>
              <w:t>■</w:t>
            </w:r>
          </w:p>
        </w:tc>
        <w:tc>
          <w:tcPr>
            <w:tcW w:type="dxa" w:w="175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Slate 50 / canvas-light</w:t>
            </w:r>
          </w:p>
        </w:tc>
        <w:tc>
          <w:tcPr>
            <w:tcW w:type="dxa" w:w="1181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#F8FAFC</w:t>
            </w:r>
          </w:p>
        </w:tc>
        <w:tc>
          <w:tcPr>
            <w:tcW w:type="dxa" w:w="208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Fondo general del modo claro.</w:t>
            </w:r>
          </w:p>
        </w:tc>
        <w:tc>
          <w:tcPr>
            <w:tcW w:type="dxa" w:w="231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Reduce el brillo del blanco puro y mejora el descanso visual.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3.1. Regla de aplicación 60/30/10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Proporción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Familia</w:t>
            </w:r>
          </w:p>
        </w:tc>
        <w:tc>
          <w:tcPr>
            <w:tcW w:type="dxa" w:w="5112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60%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Neutros de fondo</w:t>
            </w:r>
          </w:p>
        </w:tc>
        <w:tc>
          <w:tcPr>
            <w:tcW w:type="dxa" w:w="51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Canvas, superficies, tarjetas y áreas extensas de lectura.</w:t>
            </w:r>
          </w:p>
        </w:tc>
      </w:tr>
      <w:tr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30%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Slate y azul estructural</w:t>
            </w:r>
          </w:p>
        </w:tc>
        <w:tc>
          <w:tcPr>
            <w:tcW w:type="dxa" w:w="51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Texto, navegación, bordes, mapa, filtros y jerarquía de información.</w:t>
            </w:r>
          </w:p>
        </w:tc>
      </w:tr>
      <w:tr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10%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Azul de acción y verde de acento</w:t>
            </w:r>
          </w:p>
        </w:tc>
        <w:tc>
          <w:tcPr>
            <w:tcW w:type="dxa" w:w="51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CTA, estados activos, verificación, disponibilidad y feedback.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Escalas primitivas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Las primitivas son valores cromáticos sin significado funcional directo. Los tokens semánticos de la interfaz se asignan a estas escalas para permitir variantes, estados y temas sin alterar el sentido de cada componente.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4.1. Brand / Sky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9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</w:t>
              <w:br/>
              <w:t>#F0F9FF</w:t>
            </w:r>
          </w:p>
        </w:tc>
        <w:tc>
          <w:tcPr>
            <w:tcW w:type="dxa" w:w="1560"/>
            <w:shd w:fill="E0F2F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100</w:t>
              <w:br/>
              <w:t>#E0F2FE</w:t>
            </w:r>
          </w:p>
        </w:tc>
        <w:tc>
          <w:tcPr>
            <w:tcW w:type="dxa" w:w="1560"/>
            <w:shd w:fill="BAE6FD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200</w:t>
              <w:br/>
              <w:t>#BAE6FD</w:t>
            </w:r>
          </w:p>
        </w:tc>
        <w:tc>
          <w:tcPr>
            <w:tcW w:type="dxa" w:w="1560"/>
            <w:shd w:fill="7DD3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300</w:t>
              <w:br/>
              <w:t>#7DD3FC</w:t>
            </w:r>
          </w:p>
        </w:tc>
        <w:tc>
          <w:tcPr>
            <w:tcW w:type="dxa" w:w="1560"/>
            <w:shd w:fill="38BDF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400</w:t>
              <w:br/>
              <w:t>#38BDF8</w:t>
            </w:r>
          </w:p>
        </w:tc>
        <w:tc>
          <w:tcPr>
            <w:tcW w:type="dxa" w:w="1560"/>
            <w:shd w:fill="0EA5E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500</w:t>
              <w:br/>
              <w:t>#0EA5E9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600</w:t>
              <w:br/>
              <w:t>#0284C7</w:t>
            </w:r>
          </w:p>
        </w:tc>
        <w:tc>
          <w:tcPr>
            <w:tcW w:type="dxa" w:w="1560"/>
            <w:shd w:fill="0369A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700</w:t>
              <w:br/>
              <w:t>#0369A1</w:t>
            </w:r>
          </w:p>
        </w:tc>
        <w:tc>
          <w:tcPr>
            <w:tcW w:type="dxa" w:w="1560"/>
            <w:shd w:fill="07598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800</w:t>
              <w:br/>
              <w:t>#075985</w:t>
            </w:r>
          </w:p>
        </w:tc>
        <w:tc>
          <w:tcPr>
            <w:tcW w:type="dxa" w:w="1560"/>
            <w:shd w:fill="0C4A6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900</w:t>
              <w:br/>
              <w:t>#0C4A6E</w:t>
            </w:r>
          </w:p>
        </w:tc>
        <w:tc>
          <w:tcPr>
            <w:tcW w:type="dxa" w:w="1560"/>
            <w:shd w:fill="082F4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950</w:t>
              <w:br/>
              <w:t>#082F49</w:t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4.2. Ink / Slate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8FA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</w:t>
              <w:br/>
              <w:t>#F8FAFC</w:t>
            </w:r>
          </w:p>
        </w:tc>
        <w:tc>
          <w:tcPr>
            <w:tcW w:type="dxa" w:w="1560"/>
            <w:shd w:fill="F1F5F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100</w:t>
              <w:br/>
              <w:t>#F1F5F9</w:t>
            </w:r>
          </w:p>
        </w:tc>
        <w:tc>
          <w:tcPr>
            <w:tcW w:type="dxa" w:w="1560"/>
            <w:shd w:fill="E2E8F0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200</w:t>
              <w:br/>
              <w:t>#E2E8F0</w:t>
            </w:r>
          </w:p>
        </w:tc>
        <w:tc>
          <w:tcPr>
            <w:tcW w:type="dxa" w:w="1560"/>
            <w:shd w:fill="CBD5E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300</w:t>
              <w:br/>
              <w:t>#CBD5E1</w:t>
            </w:r>
          </w:p>
        </w:tc>
        <w:tc>
          <w:tcPr>
            <w:tcW w:type="dxa" w:w="1560"/>
            <w:shd w:fill="94A3B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400</w:t>
              <w:br/>
              <w:t>#94A3B8</w:t>
            </w:r>
          </w:p>
        </w:tc>
        <w:tc>
          <w:tcPr>
            <w:tcW w:type="dxa" w:w="1560"/>
            <w:shd w:fill="64748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500</w:t>
              <w:br/>
              <w:t>#64748B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7556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600</w:t>
              <w:br/>
              <w:t>#475569</w:t>
            </w:r>
          </w:p>
        </w:tc>
        <w:tc>
          <w:tcPr>
            <w:tcW w:type="dxa" w:w="1560"/>
            <w:shd w:fill="33415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700</w:t>
              <w:br/>
              <w:t>#334155</w:t>
            </w:r>
          </w:p>
        </w:tc>
        <w:tc>
          <w:tcPr>
            <w:tcW w:type="dxa" w:w="1560"/>
            <w:shd w:fill="1E29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800</w:t>
              <w:br/>
              <w:t>#1E293B</w:t>
            </w:r>
          </w:p>
        </w:tc>
        <w:tc>
          <w:tcPr>
            <w:tcW w:type="dxa" w:w="1560"/>
            <w:shd w:fill="0F172A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900</w:t>
              <w:br/>
              <w:t>#0F172A</w:t>
            </w:r>
          </w:p>
        </w:tc>
        <w:tc>
          <w:tcPr>
            <w:tcW w:type="dxa" w:w="1560"/>
            <w:shd w:fill="02061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950</w:t>
              <w:br/>
              <w:t>#020617</w:t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4.3. Green / Emerald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CFDF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</w:t>
              <w:br/>
              <w:t>#ECFDF5</w:t>
            </w:r>
          </w:p>
        </w:tc>
        <w:tc>
          <w:tcPr>
            <w:tcW w:type="dxa" w:w="1560"/>
            <w:shd w:fill="D1FAE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100</w:t>
              <w:br/>
              <w:t>#D1FAE5</w:t>
            </w:r>
          </w:p>
        </w:tc>
        <w:tc>
          <w:tcPr>
            <w:tcW w:type="dxa" w:w="1560"/>
            <w:shd w:fill="6EE7B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300</w:t>
              <w:br/>
              <w:t>#6EE7B7</w:t>
            </w:r>
          </w:p>
        </w:tc>
        <w:tc>
          <w:tcPr>
            <w:tcW w:type="dxa" w:w="1560"/>
            <w:shd w:fill="34D39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400</w:t>
              <w:br/>
              <w:t>#34D399</w:t>
            </w:r>
          </w:p>
        </w:tc>
        <w:tc>
          <w:tcPr>
            <w:tcW w:type="dxa" w:w="1560"/>
            <w:shd w:fill="10B98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500</w:t>
              <w:br/>
              <w:t>#10B981</w:t>
            </w:r>
          </w:p>
        </w:tc>
        <w:tc>
          <w:tcPr>
            <w:tcW w:type="dxa" w:w="1560"/>
            <w:shd w:fill="05966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600</w:t>
              <w:br/>
              <w:t>#059669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4785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700</w:t>
              <w:br/>
              <w:t>#047857</w:t>
            </w:r>
          </w:p>
        </w:tc>
        <w:tc>
          <w:tcPr>
            <w:tcW w:type="dxa" w:w="1560"/>
            <w:shd w:fill="064E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900</w:t>
              <w:br/>
              <w:t>#064E3B</w:t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4.4. Red / Rose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FF1F2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</w:t>
              <w:br/>
              <w:t>#FFF1F2</w:t>
            </w:r>
          </w:p>
        </w:tc>
        <w:tc>
          <w:tcPr>
            <w:tcW w:type="dxa" w:w="1560"/>
            <w:shd w:fill="FFE4E6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100</w:t>
              <w:br/>
              <w:t>#FFE4E6</w:t>
            </w:r>
          </w:p>
        </w:tc>
        <w:tc>
          <w:tcPr>
            <w:tcW w:type="dxa" w:w="1560"/>
            <w:shd w:fill="FDA4A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300</w:t>
              <w:br/>
              <w:t>#FDA4AF</w:t>
            </w:r>
          </w:p>
        </w:tc>
        <w:tc>
          <w:tcPr>
            <w:tcW w:type="dxa" w:w="1560"/>
            <w:shd w:fill="FB718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400</w:t>
              <w:br/>
              <w:t>#FB7185</w:t>
            </w:r>
          </w:p>
        </w:tc>
        <w:tc>
          <w:tcPr>
            <w:tcW w:type="dxa" w:w="1560"/>
            <w:shd w:fill="F43F5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500</w:t>
              <w:br/>
              <w:t>#F43F5E</w:t>
            </w:r>
          </w:p>
        </w:tc>
        <w:tc>
          <w:tcPr>
            <w:tcW w:type="dxa" w:w="1560"/>
            <w:shd w:fill="E11D4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600</w:t>
              <w:br/>
              <w:t>#E11D48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BE123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700</w:t>
              <w:br/>
              <w:t>#BE123C</w:t>
            </w:r>
          </w:p>
        </w:tc>
        <w:tc>
          <w:tcPr>
            <w:tcW w:type="dxa" w:w="1560"/>
            <w:shd w:fill="88133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900</w:t>
              <w:br/>
              <w:t>#881337</w:t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4.5. Amber / Warning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FFBE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</w:t>
              <w:br/>
              <w:t>#FFFBEB</w:t>
            </w:r>
          </w:p>
        </w:tc>
        <w:tc>
          <w:tcPr>
            <w:tcW w:type="dxa" w:w="1560"/>
            <w:shd w:fill="FEF3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100</w:t>
              <w:br/>
              <w:t>#FEF3C7</w:t>
            </w:r>
          </w:p>
        </w:tc>
        <w:tc>
          <w:tcPr>
            <w:tcW w:type="dxa" w:w="1560"/>
            <w:shd w:fill="FCD34D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300</w:t>
              <w:br/>
              <w:t>#FCD34D</w:t>
            </w:r>
          </w:p>
        </w:tc>
        <w:tc>
          <w:tcPr>
            <w:tcW w:type="dxa" w:w="1560"/>
            <w:shd w:fill="FBBF24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400</w:t>
              <w:br/>
              <w:t>#FBBF24</w:t>
            </w:r>
          </w:p>
        </w:tc>
        <w:tc>
          <w:tcPr>
            <w:tcW w:type="dxa" w:w="1560"/>
            <w:shd w:fill="F59E0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500</w:t>
              <w:br/>
              <w:t>#F59E0B</w:t>
            </w:r>
          </w:p>
        </w:tc>
        <w:tc>
          <w:tcPr>
            <w:tcW w:type="dxa" w:w="1560"/>
            <w:shd w:fill="D97706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600</w:t>
              <w:br/>
              <w:t>#D97706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B4530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700</w:t>
              <w:br/>
              <w:t>#B45309</w:t>
            </w:r>
          </w:p>
        </w:tc>
        <w:tc>
          <w:tcPr>
            <w:tcW w:type="dxa" w:w="1560"/>
            <w:shd w:fill="78350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900</w:t>
              <w:br/>
              <w:t>#78350F</w:t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560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Paleta semántica: modo claro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5.1. Fondos y superficies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Canvas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bg-main</w:t>
            </w:r>
          </w:p>
        </w:tc>
        <w:tc>
          <w:tcPr>
            <w:tcW w:type="dxa" w:w="1037"/>
            <w:shd w:fill="F8FA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#F8FAFC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general.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Surface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bg-surface</w:t>
            </w:r>
          </w:p>
        </w:tc>
        <w:tc>
          <w:tcPr>
            <w:tcW w:type="dxa" w:w="1037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#FFFFFF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Tarjetas, modales y buscador.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Surface raised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bg-raised</w:t>
            </w:r>
          </w:p>
        </w:tc>
        <w:tc>
          <w:tcPr>
            <w:tcW w:type="dxa" w:w="1037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#FFFFFF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Elementos elevados con sombra.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bg-subtle</w:t>
            </w:r>
          </w:p>
        </w:tc>
        <w:tc>
          <w:tcPr>
            <w:tcW w:type="dxa" w:w="1037"/>
            <w:shd w:fill="F1F5F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#F1F5F9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Secciones suaves y hover neutro.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Inverse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bg-inverse</w:t>
            </w:r>
          </w:p>
        </w:tc>
        <w:tc>
          <w:tcPr>
            <w:tcW w:type="dxa" w:w="1037"/>
            <w:shd w:fill="0F172A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#0F172A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Superficie invertida y navegación oscura.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5.2. Texto y bordes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primario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text-primary</w:t>
            </w:r>
          </w:p>
        </w:tc>
        <w:tc>
          <w:tcPr>
            <w:tcW w:type="dxa" w:w="1037"/>
            <w:shd w:fill="0F172A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#0F172A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Títulos, nombres y precios.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secundario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text-secondary</w:t>
            </w:r>
          </w:p>
        </w:tc>
        <w:tc>
          <w:tcPr>
            <w:tcW w:type="dxa" w:w="1037"/>
            <w:shd w:fill="47556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#475569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Descripción y metadatos.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muted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text-muted</w:t>
            </w:r>
          </w:p>
        </w:tc>
        <w:tc>
          <w:tcPr>
            <w:tcW w:type="dxa" w:w="1037"/>
            <w:shd w:fill="64748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#64748B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Distancias y ayudas secundarias.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Enlace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text-link</w:t>
            </w:r>
          </w:p>
        </w:tc>
        <w:tc>
          <w:tcPr>
            <w:tcW w:type="dxa" w:w="1037"/>
            <w:shd w:fill="0369A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#0369A1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Enlaces y acciones textuales.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Sobre marca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text-on-brand</w:t>
            </w:r>
          </w:p>
        </w:tc>
        <w:tc>
          <w:tcPr>
            <w:tcW w:type="dxa" w:w="1037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#FFFFFF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sobre fondo azul oscuro.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default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border-default</w:t>
            </w:r>
          </w:p>
        </w:tc>
        <w:tc>
          <w:tcPr>
            <w:tcW w:type="dxa" w:w="1037"/>
            <w:shd w:fill="E2E8F0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#E2E8F0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Controles y divisores.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border-subtle</w:t>
            </w:r>
          </w:p>
        </w:tc>
        <w:tc>
          <w:tcPr>
            <w:tcW w:type="dxa" w:w="1037"/>
            <w:shd w:fill="F1F5F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#F1F5F9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Separación de bajo énfasis.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strong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border-strong</w:t>
            </w:r>
          </w:p>
        </w:tc>
        <w:tc>
          <w:tcPr>
            <w:tcW w:type="dxa" w:w="1037"/>
            <w:shd w:fill="CBD5E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#CBD5E1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Controles destacados.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Focus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border-focus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#0284C7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Anillo de foco visible.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5.3. Acciones e intenciones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action-primary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#0284C7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CTA y selección activa.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hover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action-primary-hover</w:t>
            </w:r>
          </w:p>
        </w:tc>
        <w:tc>
          <w:tcPr>
            <w:tcW w:type="dxa" w:w="1037"/>
            <w:shd w:fill="0369A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#0369A1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Estado hover.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active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action-primary-active</w:t>
            </w:r>
          </w:p>
        </w:tc>
        <w:tc>
          <w:tcPr>
            <w:tcW w:type="dxa" w:w="1037"/>
            <w:shd w:fill="07598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#075985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Estado presionado.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action-primary-subtle</w:t>
            </w:r>
          </w:p>
        </w:tc>
        <w:tc>
          <w:tcPr>
            <w:tcW w:type="dxa" w:w="1037"/>
            <w:shd w:fill="E0F2F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#E0F2FE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Chips y selección suave.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Secundaria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action-secondary</w:t>
            </w:r>
          </w:p>
        </w:tc>
        <w:tc>
          <w:tcPr>
            <w:tcW w:type="dxa" w:w="1037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#FFFFFF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Botón secundario con borde.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Disabled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action-disabled</w:t>
            </w:r>
          </w:p>
        </w:tc>
        <w:tc>
          <w:tcPr>
            <w:tcW w:type="dxa" w:w="1037"/>
            <w:shd w:fill="E2E8F0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#E2E8F0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 no disponible.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Success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feedback-success</w:t>
            </w:r>
          </w:p>
        </w:tc>
        <w:tc>
          <w:tcPr>
            <w:tcW w:type="dxa" w:w="1037"/>
            <w:shd w:fill="10B98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#10B981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Verificación y confirmación.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Success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feedback-success-subtle</w:t>
            </w:r>
          </w:p>
        </w:tc>
        <w:tc>
          <w:tcPr>
            <w:tcW w:type="dxa" w:w="1037"/>
            <w:shd w:fill="D1FAE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#D1FAE5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éxito.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feedback-error</w:t>
            </w:r>
          </w:p>
        </w:tc>
        <w:tc>
          <w:tcPr>
            <w:tcW w:type="dxa" w:w="1037"/>
            <w:shd w:fill="E11D4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#E11D48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 y acción destructiva.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feedback-error-subtle</w:t>
            </w:r>
          </w:p>
        </w:tc>
        <w:tc>
          <w:tcPr>
            <w:tcW w:type="dxa" w:w="1037"/>
            <w:shd w:fill="FFE4E6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#FFE4E6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error.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Warning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feedback-warning</w:t>
            </w:r>
          </w:p>
        </w:tc>
        <w:tc>
          <w:tcPr>
            <w:tcW w:type="dxa" w:w="1037"/>
            <w:shd w:fill="D97706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#D97706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Advertencias y saldo pendiente.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Warning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feedback-warning-subtle</w:t>
            </w:r>
          </w:p>
        </w:tc>
        <w:tc>
          <w:tcPr>
            <w:tcW w:type="dxa" w:w="1037"/>
            <w:shd w:fill="FEF3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#FEF3C7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advertencia.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Paleta semántica: modo oscuro</w:t>
      </w: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6.1. Fondos y superficies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Canvas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bg-dark-main</w:t>
            </w:r>
          </w:p>
        </w:tc>
        <w:tc>
          <w:tcPr>
            <w:tcW w:type="dxa" w:w="1037"/>
            <w:shd w:fill="090D16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#090D16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general oscuro.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Surface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bg-dark-surface</w:t>
            </w:r>
          </w:p>
        </w:tc>
        <w:tc>
          <w:tcPr>
            <w:tcW w:type="dxa" w:w="1037"/>
            <w:shd w:fill="131B2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#131B2E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Tarjetas y modales.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Surface raised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bg-dark-raised</w:t>
            </w:r>
          </w:p>
        </w:tc>
        <w:tc>
          <w:tcPr>
            <w:tcW w:type="dxa" w:w="1037"/>
            <w:shd w:fill="1E29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#1E293B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Paneles elevados.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bg-dark-subtle</w:t>
            </w:r>
          </w:p>
        </w:tc>
        <w:tc>
          <w:tcPr>
            <w:tcW w:type="dxa" w:w="1037"/>
            <w:shd w:fill="0F172A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#0F172A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Zonas de bajo contraste.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Inverse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bg-dark-inverse</w:t>
            </w:r>
          </w:p>
        </w:tc>
        <w:tc>
          <w:tcPr>
            <w:tcW w:type="dxa" w:w="1037"/>
            <w:shd w:fill="F8FA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#F8FAFC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Superficie clara invertida.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6.2. Texto y bordes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primario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text-dark-primary</w:t>
            </w:r>
          </w:p>
        </w:tc>
        <w:tc>
          <w:tcPr>
            <w:tcW w:type="dxa" w:w="1037"/>
            <w:shd w:fill="F8FA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#F8FAFC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Títulos y contenido principal.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secundario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text-dark-secondary</w:t>
            </w:r>
          </w:p>
        </w:tc>
        <w:tc>
          <w:tcPr>
            <w:tcW w:type="dxa" w:w="1037"/>
            <w:shd w:fill="CBD5E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#CBD5E1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Descripción y metadatos.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muted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text-dark-muted</w:t>
            </w:r>
          </w:p>
        </w:tc>
        <w:tc>
          <w:tcPr>
            <w:tcW w:type="dxa" w:w="1037"/>
            <w:shd w:fill="94A3B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#94A3B8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Información auxiliar.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Enlace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text-dark-link</w:t>
            </w:r>
          </w:p>
        </w:tc>
        <w:tc>
          <w:tcPr>
            <w:tcW w:type="dxa" w:w="1037"/>
            <w:shd w:fill="7DD3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#7DD3FC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Enlaces visibles en fondo oscuro.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Sobre marca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text-dark-on-brand</w:t>
            </w:r>
          </w:p>
        </w:tc>
        <w:tc>
          <w:tcPr>
            <w:tcW w:type="dxa" w:w="1037"/>
            <w:shd w:fill="FFFFF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#FFFFFF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Texto sobre acción azul oscura.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default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border-dark-default</w:t>
            </w:r>
          </w:p>
        </w:tc>
        <w:tc>
          <w:tcPr>
            <w:tcW w:type="dxa" w:w="1037"/>
            <w:shd w:fill="33415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#334155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Controles y divisores.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border-dark-subtle</w:t>
            </w:r>
          </w:p>
        </w:tc>
        <w:tc>
          <w:tcPr>
            <w:tcW w:type="dxa" w:w="1037"/>
            <w:shd w:fill="1E29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#1E293B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Separación de bajo énfasis.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 strong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border-dark-strong</w:t>
            </w:r>
          </w:p>
        </w:tc>
        <w:tc>
          <w:tcPr>
            <w:tcW w:type="dxa" w:w="1037"/>
            <w:shd w:fill="47556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#475569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Controles destacados.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Focus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border-dark-focus</w:t>
            </w:r>
          </w:p>
        </w:tc>
        <w:tc>
          <w:tcPr>
            <w:tcW w:type="dxa" w:w="1037"/>
            <w:shd w:fill="7DD3FC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#7DD3FC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Anillo de foco visible.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6.3. Acciones e intenciones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99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37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136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action-dark-primary</w:t>
            </w:r>
          </w:p>
        </w:tc>
        <w:tc>
          <w:tcPr>
            <w:tcW w:type="dxa" w:w="1037"/>
            <w:shd w:fill="0369A1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#0369A1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CTA con texto blanco.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hover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action-dark-primary-hover</w:t>
            </w:r>
          </w:p>
        </w:tc>
        <w:tc>
          <w:tcPr>
            <w:tcW w:type="dxa" w:w="1037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#0284C7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Estado hover.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active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action-dark-primary-active</w:t>
            </w:r>
          </w:p>
        </w:tc>
        <w:tc>
          <w:tcPr>
            <w:tcW w:type="dxa" w:w="1037"/>
            <w:shd w:fill="38BDF8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#38BDF8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Estado presionado.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Primaria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action-dark-primary-subtle</w:t>
            </w:r>
          </w:p>
        </w:tc>
        <w:tc>
          <w:tcPr>
            <w:tcW w:type="dxa" w:w="1037"/>
            <w:shd w:fill="0C4A6E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#0C4A6E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Selección suave.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Secundaria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action-dark-secondary</w:t>
            </w:r>
          </w:p>
        </w:tc>
        <w:tc>
          <w:tcPr>
            <w:tcW w:type="dxa" w:w="1037"/>
            <w:shd w:fill="1E29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#1E293B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Botón secundario.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Disabled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action-dark-disabled</w:t>
            </w:r>
          </w:p>
        </w:tc>
        <w:tc>
          <w:tcPr>
            <w:tcW w:type="dxa" w:w="1037"/>
            <w:shd w:fill="33415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#334155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Control no disponible.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Success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feedback-dark-success</w:t>
            </w:r>
          </w:p>
        </w:tc>
        <w:tc>
          <w:tcPr>
            <w:tcW w:type="dxa" w:w="1037"/>
            <w:shd w:fill="34D399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#34D399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Verificación y confirmación.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Success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feedback-dark-success-subtle</w:t>
            </w:r>
          </w:p>
        </w:tc>
        <w:tc>
          <w:tcPr>
            <w:tcW w:type="dxa" w:w="1037"/>
            <w:shd w:fill="064E3B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#064E3B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éxito.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feedback-dark-error</w:t>
            </w:r>
          </w:p>
        </w:tc>
        <w:tc>
          <w:tcPr>
            <w:tcW w:type="dxa" w:w="1037"/>
            <w:shd w:fill="FB7185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#FB7185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 y acción destructiva.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Error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feedback-dark-error-subtle</w:t>
            </w:r>
          </w:p>
        </w:tc>
        <w:tc>
          <w:tcPr>
            <w:tcW w:type="dxa" w:w="1037"/>
            <w:shd w:fill="88133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#881337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error.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Warning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feedback-dark-warning</w:t>
            </w:r>
          </w:p>
        </w:tc>
        <w:tc>
          <w:tcPr>
            <w:tcW w:type="dxa" w:w="1037"/>
            <w:shd w:fill="FBBF24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#FBBF24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Advertencias y saldo pendiente.</w:t>
            </w:r>
          </w:p>
        </w:tc>
      </w:tr>
      <w:tr>
        <w:tc>
          <w:tcPr>
            <w:tcW w:type="dxa" w:w="16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Warning subtle</w:t>
            </w:r>
          </w:p>
        </w:tc>
        <w:tc>
          <w:tcPr>
            <w:tcW w:type="dxa" w:w="237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feedback-dark-warning-subtle</w:t>
            </w:r>
          </w:p>
        </w:tc>
        <w:tc>
          <w:tcPr>
            <w:tcW w:type="dxa" w:w="1037"/>
            <w:shd w:fill="78350F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8"/>
              </w:rPr>
              <w:t>■</w:t>
            </w:r>
          </w:p>
        </w:tc>
        <w:tc>
          <w:tcPr>
            <w:tcW w:type="dxa" w:w="136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#78350F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Fondo de advertencia.</w:t>
            </w:r>
          </w:p>
        </w:tc>
      </w:tr>
    </w:tbl>
    <w:p>
      <w:pPr>
        <w:spacing w:after="60"/>
      </w:pP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7. Reglas de uso del color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azul primario se reserva para la acción principal, el foco, los pines seleccionados y los enlaces activos.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verde menta identifica confianza, verificación, disponibilidad y éxito; no reemplaza al azul como CTA principal.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Rojo se utiliza únicamente para errores, cancelación y acciones destructivas; nunca para contenido informativo general.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Ámbar indica advertencia o estado pendiente, especialmente pago en ventanilla y atención requerida.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Los textos no deben depender del color para comunicar significado: cada estado incluirá etiqueta, icono o mensaje.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Las combinaciones de texto y fondo deben alcanzar contraste WCAG AA: 4,5:1 para texto normal y 3:1 para texto grande o elementos gráficos esenciales.</w:t>
      </w:r>
    </w:p>
    <w:p>
      <w:r>
        <w:br w:type="page"/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8. Sistema tipográfico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emparejamiento tipográfico combina Plus Jakarta Sans para títulos y acciones con Inter para texto, datos y formularios. Ambas son familias sans serif contemporáneas; se diferencian por estructura y peso, lo que permite una jerarquía clara sin romper la estética tecnológica y clínica del producto.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12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Clase</w:t>
            </w:r>
          </w:p>
        </w:tc>
        <w:tc>
          <w:tcPr>
            <w:tcW w:type="dxa" w:w="1944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Familia</w:t>
            </w:r>
          </w:p>
        </w:tc>
        <w:tc>
          <w:tcPr>
            <w:tcW w:type="dxa" w:w="1728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Pesos</w:t>
            </w:r>
          </w:p>
        </w:tc>
        <w:tc>
          <w:tcPr>
            <w:tcW w:type="dxa" w:w="2232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  <w:tc>
          <w:tcPr>
            <w:tcW w:type="dxa" w:w="1944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5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Principal / Display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</w:t>
            </w:r>
          </w:p>
        </w:tc>
        <w:tc>
          <w:tcPr>
            <w:tcW w:type="dxa" w:w="172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600 SemiBold; 700 Bold</w:t>
            </w:r>
          </w:p>
        </w:tc>
        <w:tc>
          <w:tcPr>
            <w:tcW w:type="dxa" w:w="223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H1, H2, H3, títulos de tarjetas y botones.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Aporta personalidad, modernidad y presencia sin perder legibilidad.</w:t>
            </w:r>
          </w:p>
        </w:tc>
      </w:tr>
      <w:tr>
        <w:tc>
          <w:tcPr>
            <w:tcW w:type="dxa" w:w="15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Principal / UI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</w:t>
            </w:r>
          </w:p>
        </w:tc>
        <w:tc>
          <w:tcPr>
            <w:tcW w:type="dxa" w:w="172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400 Regular; 500 Medium; 600 SemiBold</w:t>
            </w:r>
          </w:p>
        </w:tc>
        <w:tc>
          <w:tcPr>
            <w:tcW w:type="dxa" w:w="223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Cuerpo, navegación, formularios, datos, precios y etiquetas.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Optimizada para pantallas y lectura rápida de información compacta.</w:t>
            </w:r>
          </w:p>
        </w:tc>
      </w:tr>
      <w:tr>
        <w:tc>
          <w:tcPr>
            <w:tcW w:type="dxa" w:w="151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Fallback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system-ui, Arial, sans-serif</w:t>
            </w:r>
          </w:p>
        </w:tc>
        <w:tc>
          <w:tcPr>
            <w:tcW w:type="dxa" w:w="172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Regular a Bold</w:t>
            </w:r>
          </w:p>
        </w:tc>
        <w:tc>
          <w:tcPr>
            <w:tcW w:type="dxa" w:w="2232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Sustitución cuando la fuente web no carga.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Mantiene métricas legibles y una apariencia neutral.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8.1. Escala tipográfica oficial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Familia / peso</w:t>
            </w:r>
          </w:p>
        </w:tc>
        <w:tc>
          <w:tcPr>
            <w:tcW w:type="dxa" w:w="1944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Tamaño / línea</w:t>
            </w:r>
          </w:p>
        </w:tc>
        <w:tc>
          <w:tcPr>
            <w:tcW w:type="dxa" w:w="273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font-h1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 700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36 px / 44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Hero y títulos principales.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font-h2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 700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24 px / 32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Secciones, páginas y modales.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font-h3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 600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18 px / 26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Tarjeta médica y subtítulos.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font-button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 600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 px / 20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CTA, botones y chips destacados.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font-body-lg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400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16 px / 26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Introducciones y texto de apoyo.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font-body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400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 px / 24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Párrafos, descripciones y formularios.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font-label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14 px / 20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Etiquetas, navegación y controles.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font-data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13 px / 18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Distancia, horario, precio y metadatos.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font-caption</w:t>
            </w:r>
          </w:p>
        </w:tc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400</w:t>
            </w:r>
          </w:p>
        </w:tc>
        <w:tc>
          <w:tcPr>
            <w:tcW w:type="dxa" w:w="19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12 px / 16 px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Ayudas y notas no críticas.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8.2. Adaptación responsive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6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405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Escritorio (≥1024)</w:t>
            </w:r>
          </w:p>
        </w:tc>
        <w:tc>
          <w:tcPr>
            <w:tcW w:type="dxa" w:w="2405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Tablet (768)</w:t>
            </w:r>
          </w:p>
        </w:tc>
        <w:tc>
          <w:tcPr>
            <w:tcW w:type="dxa" w:w="239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Móvil (390)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36/44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32/40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28/36 px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24/32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22/30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20/28 px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18/26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18/26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17/24 px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Body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15/24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15/24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15/24 px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Label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14/20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14/20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14/20 px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13/18 px</w:t>
            </w:r>
          </w:p>
        </w:tc>
        <w:tc>
          <w:tcPr>
            <w:tcW w:type="dxa" w:w="2405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13/18 px</w:t>
            </w:r>
          </w:p>
        </w:tc>
        <w:tc>
          <w:tcPr>
            <w:tcW w:type="dxa" w:w="239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13/18 px</w:t>
            </w:r>
          </w:p>
        </w:tc>
      </w:tr>
    </w:tbl>
    <w:p>
      <w:pPr>
        <w:spacing w:after="60"/>
      </w:pPr>
    </w:p>
    <w:p>
      <w:pPr>
        <w:spacing w:before="240" w:after="60" w:line="480" w:lineRule="auto"/>
        <w:ind w:left="0" w:right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8.3. Muestras y uso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84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Muestra</w:t>
            </w:r>
          </w:p>
        </w:tc>
        <w:tc>
          <w:tcPr>
            <w:tcW w:type="dxa" w:w="252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68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Plus Jakarta Sans" w:hAnsi="Plus Jakarta Sans"/>
                <w:b/>
                <w:i w:val="0"/>
                <w:color w:val="000000"/>
                <w:sz w:val="40"/>
              </w:rPr>
              <w:t>Encuentra especialistas verificados cerca de ti</w:t>
            </w:r>
          </w:p>
        </w:tc>
        <w:tc>
          <w:tcPr>
            <w:tcW w:type="dxa" w:w="252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H1 / Hero</w:t>
            </w:r>
          </w:p>
        </w:tc>
      </w:tr>
      <w:tr>
        <w:tc>
          <w:tcPr>
            <w:tcW w:type="dxa" w:w="68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Plus Jakarta Sans" w:hAnsi="Plus Jakarta Sans"/>
                <w:b/>
                <w:i w:val="0"/>
                <w:color w:val="000000"/>
                <w:sz w:val="32"/>
              </w:rPr>
              <w:t>Especialistas disponibles hoy</w:t>
            </w:r>
          </w:p>
        </w:tc>
        <w:tc>
          <w:tcPr>
            <w:tcW w:type="dxa" w:w="252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H2 / Sección</w:t>
            </w:r>
          </w:p>
        </w:tc>
      </w:tr>
      <w:tr>
        <w:tc>
          <w:tcPr>
            <w:tcW w:type="dxa" w:w="68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Plus Jakarta Sans" w:hAnsi="Plus Jakarta Sans"/>
                <w:b/>
                <w:i w:val="0"/>
                <w:color w:val="000000"/>
                <w:sz w:val="26"/>
              </w:rPr>
              <w:t>Dr. Alejandro Morales - Odontología</w:t>
            </w:r>
          </w:p>
        </w:tc>
        <w:tc>
          <w:tcPr>
            <w:tcW w:type="dxa" w:w="252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H3 / Tarjeta</w:t>
            </w:r>
          </w:p>
        </w:tc>
      </w:tr>
      <w:tr>
        <w:tc>
          <w:tcPr>
            <w:tcW w:type="dxa" w:w="68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Consulta desde aproximadamente $35,00 USD</w:t>
            </w:r>
          </w:p>
        </w:tc>
        <w:tc>
          <w:tcPr>
            <w:tcW w:type="dxa" w:w="252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Body / Descripción</w:t>
            </w:r>
          </w:p>
        </w:tc>
      </w:tr>
      <w:tr>
        <w:tc>
          <w:tcPr>
            <w:tcW w:type="dxa" w:w="684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Inter" w:hAnsi="Inter"/>
                <w:b/>
                <w:i w:val="0"/>
                <w:color w:val="000000"/>
                <w:sz w:val="20"/>
              </w:rPr>
              <w:t>A 1,2 km · Abierto hoy · Próximo turno 15:00</w:t>
            </w:r>
          </w:p>
        </w:tc>
        <w:tc>
          <w:tcPr>
            <w:tcW w:type="dxa" w:w="252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Data / Metadatos</w:t>
            </w:r>
          </w:p>
        </w:tc>
      </w:tr>
    </w:tbl>
    <w:p>
      <w:pPr>
        <w:spacing w:after="60"/>
      </w:pPr>
    </w:p>
    <w:p>
      <w:pPr>
        <w:spacing w:before="80" w:after="80" w:line="360" w:lineRule="auto"/>
        <w:ind w:left="0" w:right="0" w:firstLine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Nota: Plus Jakarta Sans e Inter se cargan como fuentes web. Si no están instaladas en Microsoft Word, el archivo puede mostrar una sustitución local, pero las especificaciones de implementación permanecen indicadas en las tablas.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9. Reglas tipográficas de accesibilidad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No usar tamaños inferiores a 12 px para notas ni a 14 px para controles interactivos.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Mantener entre 45 y 75 caracteres por línea en bloques de lectura para evitar fatiga visual.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Usar 400 para texto corrido, 500 para datos/etiquetas y 600-700 para títulos o acciones; evitar pesos demasiado ligeros.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No utilizar mayúsculas sostenidas en párrafos ni etiquetas largas; reservarlas para códigos o estados breves.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Conservar el tamaño de cuerpo en móvil y reducir únicamente la escala de títulos, tal como indica la tabla responsive.</w:t>
      </w:r>
    </w:p>
    <w:p>
      <w:pPr>
        <w:pStyle w:val="ListBullet"/>
        <w:spacing w:before="0" w:after="0" w:line="48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No comunicar jerarquía únicamente por tamaño o color: combinar tamaño, peso, espaciado y posición.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10. Mapeo resumido de 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3744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Color</w:t>
            </w:r>
          </w:p>
        </w:tc>
        <w:tc>
          <w:tcPr>
            <w:tcW w:type="dxa" w:w="2736"/>
            <w:shd w:fill="0284C7" w:val="clear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Tipografía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CTA Agendar Cita Rápida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action-primary / #0284C7; hover #0369A1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Plus Jakarta Sans 600 · 15/20 px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Tarjeta de especialista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surface #FFFFFF; text-primary #0F172A; border #E2E8F0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H3 Plus Jakarta Sans 600; datos Inter 500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Badge Especialista Verificado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accent-mint #10B981; accent-light #D1FAE5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 · 13/18 px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Estado Abierto Ahora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feedback-success #10B981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 · 13/18 px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Pago pendiente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warning #D97706; warning-subtle #FEF3C7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 · 14/20 px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Cancelación / error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error #E11D48; error-subtle #FFE4E6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 · 14/20 px</w:t>
            </w:r>
          </w:p>
        </w:tc>
      </w:tr>
      <w:tr>
        <w:tc>
          <w:tcPr>
            <w:tcW w:type="dxa" w:w="2880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Mapa y filtros</w:t>
            </w:r>
          </w:p>
        </w:tc>
        <w:tc>
          <w:tcPr>
            <w:tcW w:type="dxa" w:w="3744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brand #0284C7; text-secondary #475569</w:t>
            </w:r>
          </w:p>
        </w:tc>
        <w:tc>
          <w:tcPr>
            <w:tcW w:type="dxa" w:w="2736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 500 · 14/20 px</w:t>
            </w:r>
          </w:p>
        </w:tc>
      </w:tr>
    </w:tbl>
    <w:p>
      <w:pPr>
        <w:spacing w:after="60"/>
      </w:pP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11. Conclusión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sistema de color y tipografía de Vectra Cure traduce los valores de confianza, claridad y rapidez en reglas reutilizables. El azul guía las acciones y la navegación; el slate estructura la información; el verde confirma credenciales y disponibilidad; y los colores semánticos comunican error o advertencia sin ambigüedad. Plus Jakarta Sans e Inter completan una jerarquía moderna y legible que puede adaptarse a escritorio, tablet y móvil sin perder consistencia.</w:t>
      </w:r>
    </w:p>
    <w:p>
      <w:pPr>
        <w:spacing w:before="360" w:after="120" w:line="48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12. Referencias internas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Vectra Cure. (2026). Sistema de diseño: tokens de color, tipografía, componentes y estética Apple Desktop. Archivo interno del proyecto.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Grupo 3. (2026). Colores y tipografía UX/UI. Documento académico de referencia.</w:t>
      </w:r>
    </w:p>
    <w:p>
      <w:pPr>
        <w:spacing w:before="0" w:after="0" w:line="480" w:lineRule="auto"/>
        <w:ind w:left="0" w:right="0"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Tailwind Labs. (2026). Escalas cromáticas utilizadas como base técnica para los tokens de interfaz. Referencia de implementación del proyecto.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440" w:right="1440" w:bottom="1440" w:left="1440" w:header="54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0"/>
      <w:gridCol w:w="720"/>
    </w:tblGrid>
    <w:tr>
      <w:tc>
        <w:tcPr>
          <w:tcW w:type="dxa" w:w="864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24128" cy="37165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uce_compl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371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right"/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UI/UX Research - Vectra Cure</dc:title>
  <dc:subject>Diseño de Experiencia de Usuario e Interfaces</dc:subject>
  <dc:creator>Isaac Unapucha; Justin Cedeño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