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2103120" cy="763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63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jc w:val="center"/>
      </w:pPr>
      <w:r>
        <w:rPr>
          <w:b/>
          <w:i w:val="0"/>
          <w:sz w:val="26"/>
        </w:rPr>
        <w:t>INFORME TÉCNICO</w:t>
      </w:r>
    </w:p>
    <w:p>
      <w:pPr>
        <w:spacing w:line="360" w:lineRule="auto" w:after="40"/>
        <w:jc w:val="center"/>
      </w:pPr>
      <w:r>
        <w:rPr>
          <w:b/>
          <w:i w:val="0"/>
          <w:sz w:val="26"/>
        </w:rPr>
        <w:t>SISTEMA DE COLORES Y TIPOGRAFÍA</w:t>
      </w:r>
    </w:p>
    <w:p>
      <w:pPr>
        <w:spacing w:line="360" w:lineRule="auto" w:after="40"/>
        <w:jc w:val="center"/>
      </w:pPr>
      <w:r>
        <w:rPr>
          <w:b w:val="0"/>
          <w:i w:val="0"/>
          <w:sz w:val="24"/>
        </w:rPr>
        <w:t>Vectra Cure — Plataforma de Salud Geolocalizada y Agendamiento</w:t>
      </w:r>
    </w:p>
    <w:p/>
    <w:p>
      <w:pPr>
        <w:spacing w:after="40"/>
        <w:jc w:val="center"/>
      </w:pPr>
      <w:r>
        <w:rPr>
          <w:b w:val="0"/>
          <w:i w:val="0"/>
        </w:rPr>
        <w:t>Institución: Pontificia Universidad Católica del Ecuador (PUCE)</w:t>
      </w:r>
    </w:p>
    <w:p>
      <w:pPr>
        <w:spacing w:after="40"/>
        <w:jc w:val="center"/>
      </w:pPr>
      <w:r>
        <w:rPr>
          <w:b w:val="0"/>
          <w:i w:val="0"/>
        </w:rPr>
        <w:t>Carrera: Ingeniería en Desarrollo de Software</w:t>
      </w:r>
    </w:p>
    <w:p>
      <w:pPr>
        <w:spacing w:after="40"/>
        <w:jc w:val="center"/>
      </w:pPr>
      <w:r>
        <w:rPr>
          <w:b w:val="0"/>
          <w:i w:val="0"/>
        </w:rPr>
        <w:t>Asignatura: Diseño de Experiencia de Usuario e Interfaces (UX/UI)</w:t>
      </w:r>
    </w:p>
    <w:p>
      <w:pPr>
        <w:spacing w:after="40"/>
        <w:jc w:val="center"/>
      </w:pPr>
      <w:r>
        <w:rPr>
          <w:b w:val="0"/>
          <w:i w:val="0"/>
        </w:rPr>
        <w:t>Docente: Ing. Andrés Ayala</w:t>
      </w:r>
    </w:p>
    <w:p>
      <w:pPr>
        <w:spacing w:after="40"/>
        <w:jc w:val="center"/>
      </w:pPr>
      <w:r>
        <w:rPr>
          <w:b w:val="0"/>
          <w:i w:val="0"/>
        </w:rPr>
        <w:t>Integrantes: Isaac Unapucha y Justin Cedeño</w:t>
      </w:r>
    </w:p>
    <w:p>
      <w:pPr>
        <w:spacing w:after="40"/>
        <w:jc w:val="center"/>
      </w:pPr>
      <w:r>
        <w:rPr>
          <w:b w:val="0"/>
          <w:i w:val="0"/>
        </w:rPr>
        <w:t>Fecha de entrega: 30 de agosto de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Introducción</w:t>
      </w:r>
    </w:p>
    <w:p>
      <w:r>
        <w:rPr>
          <w:b w:val="0"/>
          <w:i w:val="0"/>
        </w:rPr>
        <w:t>El sistema visual de Vectra Cure define una identidad clínica moderna, cercana y confiable para una plataforma que conecta pacientes con especialistas geolocalizados. La paleta y la tipografía se expresan como tokens reutilizables para mantener consistencia entre la landing page, el explorador con mapa, las tarjetas de especialista, el panel profesional, los modales de acceso y los estados de confirmación de cita.</w:t>
      </w:r>
    </w:p>
    <w:p>
      <w:r>
        <w:rPr>
          <w:b w:val="0"/>
          <w:i w:val="0"/>
        </w:rPr>
        <w:t>Este documento describe la versión vigente del sistema (V2), tal como está implementada en el código de la aplicación (hoja de estilos vectra_cure/static/css/vectra.css) y en la especificación docs/design/02_DESIGN_SYSTEM.md. Las decisiones oficiales son: azul índigo como color primario de acción, un tono tinta frío para el texto y la estructura, agua mineral y amanecer como acentos de apoyo, un único tema claro, y una jerarquía tipográfica formada por Instrument Sans para títulos y Manrope para texto. En la sección 10 se resume la migración desde la primera versión del sistema (V1).</w:t>
      </w:r>
    </w:p>
    <w:p>
      <w:pPr>
        <w:pStyle w:val="Heading1"/>
      </w:pPr>
      <w:r>
        <w:rPr>
          <w:rFonts w:ascii="Times New Roman" w:hAnsi="Times New Roman"/>
        </w:rPr>
        <w:t>2. Principios del lenguaje visual</w:t>
      </w:r>
    </w:p>
    <w:p>
      <w:pPr>
        <w:pStyle w:val="ListBullet"/>
        <w:spacing w:line="360" w:lineRule="auto"/>
      </w:pPr>
      <w:r>
        <w:t>Confianza clínica: el azul comunica seguridad, tecnología y estabilidad sin adoptar una apariencia hospitalaria fría.</w:t>
      </w:r>
    </w:p>
    <w:p>
      <w:pPr>
        <w:pStyle w:val="ListBullet"/>
        <w:spacing w:line="360" w:lineRule="auto"/>
      </w:pPr>
      <w:r>
        <w:t>Claridad informativa: el tono tinta (ink) y las líneas ordenan títulos, datos, bordes y superficies con una jerarquía legible.</w:t>
      </w:r>
    </w:p>
    <w:p>
      <w:pPr>
        <w:pStyle w:val="ListBullet"/>
        <w:spacing w:line="360" w:lineRule="auto"/>
      </w:pPr>
      <w:r>
        <w:t>Acción y confirmación: el azul guía la acción principal; el agua mineral destaca verificación, disponibilidad y resultados correctos.</w:t>
      </w:r>
    </w:p>
    <w:p>
      <w:pPr>
        <w:pStyle w:val="ListBullet"/>
        <w:spacing w:line="360" w:lineRule="auto"/>
      </w:pPr>
      <w:r>
        <w:t>Serenidad visual: fondos claros, espacios amplios y contraste controlado; la animación es breve y útil, nunca decorativa.</w:t>
      </w:r>
    </w:p>
    <w:p>
      <w:pPr>
        <w:pStyle w:val="ListBullet"/>
        <w:spacing w:line="360" w:lineRule="auto"/>
      </w:pPr>
      <w:r>
        <w:t>Consistencia temática: los tokens semánticos conservan el mismo significado en toda la interfaz; V2 no incluye tema oscuro.</w:t>
      </w:r>
    </w:p>
    <w:p>
      <w:pPr>
        <w:pStyle w:val="Heading1"/>
      </w:pPr>
      <w:r>
        <w:rPr>
          <w:rFonts w:ascii="Times New Roman" w:hAnsi="Times New Roman"/>
        </w:rPr>
        <w:t>3. Colores principales de marca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Nombre / token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HEX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Primario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Indigo Blue / blue</w:t>
            </w:r>
          </w:p>
        </w:tc>
        <w:tc>
          <w:tcPr>
            <w:tcW w:type="dxa" w:w="2340"/>
            <w:shd w:val="clear" w:color="auto" w:fill="276EF1"/>
          </w:tcPr>
          <w:p>
            <w:pPr>
              <w:spacing w:line="276" w:lineRule="auto"/>
            </w:pPr>
            <w:r/>
            <w:r>
              <w:rPr>
                <w:sz w:val="18"/>
              </w:rPr>
              <w:t>#276EF1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CTA, enlaces activos, foco, pines del mapa y selección.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Primario hover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Indigo 700 / blue-dark</w:t>
            </w:r>
          </w:p>
        </w:tc>
        <w:tc>
          <w:tcPr>
            <w:tcW w:type="dxa" w:w="2340"/>
            <w:shd w:val="clear" w:color="auto" w:fill="1654C8"/>
          </w:tcPr>
          <w:p>
            <w:pPr>
              <w:spacing w:line="276" w:lineRule="auto"/>
            </w:pPr>
            <w:r/>
            <w:r>
              <w:rPr>
                <w:sz w:val="18"/>
              </w:rPr>
              <w:t>#1654C8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Hover, estado presionado y encabezados de alto contraste.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Estructura / texto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Ink / ink</w:t>
            </w:r>
          </w:p>
        </w:tc>
        <w:tc>
          <w:tcPr>
            <w:tcW w:type="dxa" w:w="2340"/>
            <w:shd w:val="clear" w:color="auto" w:fill="112530"/>
          </w:tcPr>
          <w:p>
            <w:pPr>
              <w:spacing w:line="276" w:lineRule="auto"/>
            </w:pPr>
            <w:r/>
            <w:r>
              <w:rPr>
                <w:sz w:val="18"/>
              </w:rPr>
              <w:t>#112530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Texto principal, títulos, navegación oscura y footer.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Verificación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Mineral / mineral</w:t>
            </w:r>
          </w:p>
        </w:tc>
        <w:tc>
          <w:tcPr>
            <w:tcW w:type="dxa" w:w="2340"/>
            <w:shd w:val="clear" w:color="auto" w:fill="87D7C6"/>
          </w:tcPr>
          <w:p>
            <w:pPr>
              <w:spacing w:line="276" w:lineRule="auto"/>
            </w:pPr>
            <w:r/>
            <w:r>
              <w:rPr>
                <w:sz w:val="18"/>
              </w:rPr>
              <w:t>#87D7C6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Especialista verificado, disponibilidad y apoyo positivo.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Acento cálido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Sunrise / sunrise</w:t>
            </w:r>
          </w:p>
        </w:tc>
        <w:tc>
          <w:tcPr>
            <w:tcW w:type="dxa" w:w="2340"/>
            <w:shd w:val="clear" w:color="auto" w:fill="FFB36B"/>
          </w:tcPr>
          <w:p>
            <w:pPr>
              <w:spacing w:line="276" w:lineRule="auto"/>
            </w:pPr>
            <w:r/>
            <w:r>
              <w:rPr>
                <w:sz w:val="18"/>
              </w:rPr>
              <w:t>#FFB36B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Segundo pin del mapa y realces puntuales.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Fondo de descanso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Mist / mist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sz w:val="18"/>
              </w:rPr>
              <w:t>#EDF6F7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Fondo de secciones suaves, hero y lienzo del mapa.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3.1. Regla de aplicación 60/30/10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Proporción</w:t>
            </w:r>
          </w:p>
        </w:tc>
        <w:tc>
          <w:tcPr>
            <w:tcW w:type="dxa" w:w="312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Familia</w:t>
            </w:r>
          </w:p>
        </w:tc>
        <w:tc>
          <w:tcPr>
            <w:tcW w:type="dxa" w:w="312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Aplicación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60%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Blancos y mist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Lienzo, superficies, tarjetas y áreas extensas de lectura.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30%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Ink y líneas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Texto, navegación, bordes, mapa, filtros y jerarquía de información.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10%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Azul de acción, mineral y sunrise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CTA, estados activos, verificación, disponibilidad y feedback.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4. Escalas primitivas</w:t>
      </w:r>
    </w:p>
    <w:p>
      <w:r>
        <w:rPr>
          <w:b w:val="0"/>
          <w:i w:val="0"/>
        </w:rPr>
        <w:t>Las primitivas son valores cromáticos sin significado funcional directo. Los tokens semánticos de la interfaz se asignan a estas escalas para permitir variantes y estados sin alterar el sentido de cada componente. En la implementación actual solo se materializan blue (#276EF1), blue-dark (#1654C8), ink (#112530), mineral (#87D7C6) y sunrise (#FFB36B); las escalas completas son la guía de extensión.</w:t>
      </w:r>
    </w:p>
    <w:p>
      <w:pPr>
        <w:pStyle w:val="Heading2"/>
      </w:pPr>
      <w:r>
        <w:rPr>
          <w:rFonts w:ascii="Times New Roman" w:hAnsi="Times New Roman"/>
        </w:rPr>
        <w:t>4.1. Blue (marca)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Escalón</w:t>
            </w:r>
          </w:p>
        </w:tc>
        <w:tc>
          <w:tcPr>
            <w:tcW w:type="dxa" w:w="468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HEX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4680"/>
            <w:shd w:val="clear" w:color="auto" w:fill="EEF3FE"/>
          </w:tcPr>
          <w:p>
            <w:pPr>
              <w:spacing w:line="276" w:lineRule="auto"/>
            </w:pPr>
            <w:r/>
            <w:r>
              <w:rPr>
                <w:sz w:val="18"/>
              </w:rPr>
              <w:t>#EEF3FE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4680"/>
            <w:shd w:val="clear" w:color="auto" w:fill="D9E5FD"/>
          </w:tcPr>
          <w:p>
            <w:pPr>
              <w:spacing w:line="276" w:lineRule="auto"/>
            </w:pPr>
            <w:r/>
            <w:r>
              <w:rPr>
                <w:sz w:val="18"/>
              </w:rPr>
              <w:t>#D9E5FD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200</w:t>
            </w:r>
          </w:p>
        </w:tc>
        <w:tc>
          <w:tcPr>
            <w:tcW w:type="dxa" w:w="4680"/>
            <w:shd w:val="clear" w:color="auto" w:fill="B4CBFB"/>
          </w:tcPr>
          <w:p>
            <w:pPr>
              <w:spacing w:line="276" w:lineRule="auto"/>
            </w:pPr>
            <w:r/>
            <w:r>
              <w:rPr>
                <w:sz w:val="18"/>
              </w:rPr>
              <w:t>#B4CBFB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300</w:t>
            </w:r>
          </w:p>
        </w:tc>
        <w:tc>
          <w:tcPr>
            <w:tcW w:type="dxa" w:w="4680"/>
            <w:shd w:val="clear" w:color="auto" w:fill="8AACF8"/>
          </w:tcPr>
          <w:p>
            <w:pPr>
              <w:spacing w:line="276" w:lineRule="auto"/>
            </w:pPr>
            <w:r/>
            <w:r>
              <w:rPr>
                <w:sz w:val="18"/>
              </w:rPr>
              <w:t>#8AACF8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4680"/>
            <w:shd w:val="clear" w:color="auto" w:fill="5A8BF5"/>
          </w:tcPr>
          <w:p>
            <w:pPr>
              <w:spacing w:line="276" w:lineRule="auto"/>
            </w:pPr>
            <w:r/>
            <w:r>
              <w:rPr>
                <w:sz w:val="18"/>
              </w:rPr>
              <w:t>#5A8BF5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500</w:t>
            </w:r>
          </w:p>
        </w:tc>
        <w:tc>
          <w:tcPr>
            <w:tcW w:type="dxa" w:w="4680"/>
            <w:shd w:val="clear" w:color="auto" w:fill="276EF1"/>
          </w:tcPr>
          <w:p>
            <w:pPr>
              <w:spacing w:line="276" w:lineRule="auto"/>
            </w:pPr>
            <w:r/>
            <w:r>
              <w:rPr>
                <w:sz w:val="18"/>
              </w:rPr>
              <w:t>#276EF1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600</w:t>
            </w:r>
          </w:p>
        </w:tc>
        <w:tc>
          <w:tcPr>
            <w:tcW w:type="dxa" w:w="4680"/>
            <w:shd w:val="clear" w:color="auto" w:fill="1F5FD8"/>
          </w:tcPr>
          <w:p>
            <w:pPr>
              <w:spacing w:line="276" w:lineRule="auto"/>
            </w:pPr>
            <w:r/>
            <w:r>
              <w:rPr>
                <w:sz w:val="18"/>
              </w:rPr>
              <w:t>#1F5FD8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700</w:t>
            </w:r>
          </w:p>
        </w:tc>
        <w:tc>
          <w:tcPr>
            <w:tcW w:type="dxa" w:w="4680"/>
            <w:shd w:val="clear" w:color="auto" w:fill="1654C8"/>
          </w:tcPr>
          <w:p>
            <w:pPr>
              <w:spacing w:line="276" w:lineRule="auto"/>
            </w:pPr>
            <w:r/>
            <w:r>
              <w:rPr>
                <w:sz w:val="18"/>
              </w:rPr>
              <w:t>#1654C8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800</w:t>
            </w:r>
          </w:p>
        </w:tc>
        <w:tc>
          <w:tcPr>
            <w:tcW w:type="dxa" w:w="4680"/>
            <w:shd w:val="clear" w:color="auto" w:fill="164299"/>
          </w:tcPr>
          <w:p>
            <w:pPr>
              <w:spacing w:line="276" w:lineRule="auto"/>
            </w:pPr>
            <w:r/>
            <w:r>
              <w:rPr>
                <w:sz w:val="18"/>
              </w:rPr>
              <w:t>#164299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900</w:t>
            </w:r>
          </w:p>
        </w:tc>
        <w:tc>
          <w:tcPr>
            <w:tcW w:type="dxa" w:w="4680"/>
            <w:shd w:val="clear" w:color="auto" w:fill="14356F"/>
          </w:tcPr>
          <w:p>
            <w:pPr>
              <w:spacing w:line="276" w:lineRule="auto"/>
            </w:pPr>
            <w:r/>
            <w:r>
              <w:rPr>
                <w:sz w:val="18"/>
              </w:rPr>
              <w:t>#14356F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950</w:t>
            </w:r>
          </w:p>
        </w:tc>
        <w:tc>
          <w:tcPr>
            <w:tcW w:type="dxa" w:w="4680"/>
            <w:shd w:val="clear" w:color="auto" w:fill="0F2547"/>
          </w:tcPr>
          <w:p>
            <w:pPr>
              <w:spacing w:line="276" w:lineRule="auto"/>
            </w:pPr>
            <w:r/>
            <w:r>
              <w:rPr>
                <w:sz w:val="18"/>
              </w:rPr>
              <w:t>#0F2547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4.2. Ink (estructura)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Escalón</w:t>
            </w:r>
          </w:p>
        </w:tc>
        <w:tc>
          <w:tcPr>
            <w:tcW w:type="dxa" w:w="468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HEX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468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sz w:val="18"/>
              </w:rPr>
              <w:t>#EDF6F7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4680"/>
            <w:shd w:val="clear" w:color="auto" w:fill="DDEBED"/>
          </w:tcPr>
          <w:p>
            <w:pPr>
              <w:spacing w:line="276" w:lineRule="auto"/>
            </w:pPr>
            <w:r/>
            <w:r>
              <w:rPr>
                <w:sz w:val="18"/>
              </w:rPr>
              <w:t>#DDEBED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200</w:t>
            </w:r>
          </w:p>
        </w:tc>
        <w:tc>
          <w:tcPr>
            <w:tcW w:type="dxa" w:w="4680"/>
            <w:shd w:val="clear" w:color="auto" w:fill="C3DADD"/>
          </w:tcPr>
          <w:p>
            <w:pPr>
              <w:spacing w:line="276" w:lineRule="auto"/>
            </w:pPr>
            <w:r/>
            <w:r>
              <w:rPr>
                <w:sz w:val="18"/>
              </w:rPr>
              <w:t>#C3DADD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300</w:t>
            </w:r>
          </w:p>
        </w:tc>
        <w:tc>
          <w:tcPr>
            <w:tcW w:type="dxa" w:w="4680"/>
            <w:shd w:val="clear" w:color="auto" w:fill="9FBEC3"/>
          </w:tcPr>
          <w:p>
            <w:pPr>
              <w:spacing w:line="276" w:lineRule="auto"/>
            </w:pPr>
            <w:r/>
            <w:r>
              <w:rPr>
                <w:sz w:val="18"/>
              </w:rPr>
              <w:t>#9FBEC3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4680"/>
            <w:shd w:val="clear" w:color="auto" w:fill="667B83"/>
          </w:tcPr>
          <w:p>
            <w:pPr>
              <w:spacing w:line="276" w:lineRule="auto"/>
            </w:pPr>
            <w:r/>
            <w:r>
              <w:rPr>
                <w:sz w:val="18"/>
              </w:rPr>
              <w:t>#667B83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500</w:t>
            </w:r>
          </w:p>
        </w:tc>
        <w:tc>
          <w:tcPr>
            <w:tcW w:type="dxa" w:w="4680"/>
            <w:shd w:val="clear" w:color="auto" w:fill="47616A"/>
          </w:tcPr>
          <w:p>
            <w:pPr>
              <w:spacing w:line="276" w:lineRule="auto"/>
            </w:pPr>
            <w:r/>
            <w:r>
              <w:rPr>
                <w:sz w:val="18"/>
              </w:rPr>
              <w:t>#47616A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600</w:t>
            </w:r>
          </w:p>
        </w:tc>
        <w:tc>
          <w:tcPr>
            <w:tcW w:type="dxa" w:w="4680"/>
            <w:shd w:val="clear" w:color="auto" w:fill="33505A"/>
          </w:tcPr>
          <w:p>
            <w:pPr>
              <w:spacing w:line="276" w:lineRule="auto"/>
            </w:pPr>
            <w:r/>
            <w:r>
              <w:rPr>
                <w:sz w:val="18"/>
              </w:rPr>
              <w:t>#33505A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700</w:t>
            </w:r>
          </w:p>
        </w:tc>
        <w:tc>
          <w:tcPr>
            <w:tcW w:type="dxa" w:w="4680"/>
            <w:shd w:val="clear" w:color="auto" w:fill="29414B"/>
          </w:tcPr>
          <w:p>
            <w:pPr>
              <w:spacing w:line="276" w:lineRule="auto"/>
            </w:pPr>
            <w:r/>
            <w:r>
              <w:rPr>
                <w:sz w:val="18"/>
              </w:rPr>
              <w:t>#29414B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800</w:t>
            </w:r>
          </w:p>
        </w:tc>
        <w:tc>
          <w:tcPr>
            <w:tcW w:type="dxa" w:w="4680"/>
            <w:shd w:val="clear" w:color="auto" w:fill="1B303A"/>
          </w:tcPr>
          <w:p>
            <w:pPr>
              <w:spacing w:line="276" w:lineRule="auto"/>
            </w:pPr>
            <w:r/>
            <w:r>
              <w:rPr>
                <w:sz w:val="18"/>
              </w:rPr>
              <w:t>#1B303A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900</w:t>
            </w:r>
          </w:p>
        </w:tc>
        <w:tc>
          <w:tcPr>
            <w:tcW w:type="dxa" w:w="4680"/>
            <w:shd w:val="clear" w:color="auto" w:fill="112530"/>
          </w:tcPr>
          <w:p>
            <w:pPr>
              <w:spacing w:line="276" w:lineRule="auto"/>
            </w:pPr>
            <w:r/>
            <w:r>
              <w:rPr>
                <w:sz w:val="18"/>
              </w:rPr>
              <w:t>#112530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950</w:t>
            </w:r>
          </w:p>
        </w:tc>
        <w:tc>
          <w:tcPr>
            <w:tcW w:type="dxa" w:w="4680"/>
            <w:shd w:val="clear" w:color="auto" w:fill="0B1A22"/>
          </w:tcPr>
          <w:p>
            <w:pPr>
              <w:spacing w:line="276" w:lineRule="auto"/>
            </w:pPr>
            <w:r/>
            <w:r>
              <w:rPr>
                <w:sz w:val="18"/>
              </w:rPr>
              <w:t>#0B1A22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4.3. Mineral (verificación y apoyo)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Escalón</w:t>
            </w:r>
          </w:p>
        </w:tc>
        <w:tc>
          <w:tcPr>
            <w:tcW w:type="dxa" w:w="468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HEX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4680"/>
            <w:shd w:val="clear" w:color="auto" w:fill="ECFBF5"/>
          </w:tcPr>
          <w:p>
            <w:pPr>
              <w:spacing w:line="276" w:lineRule="auto"/>
            </w:pPr>
            <w:r/>
            <w:r>
              <w:rPr>
                <w:sz w:val="18"/>
              </w:rPr>
              <w:t>#ECFBF5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4680"/>
            <w:shd w:val="clear" w:color="auto" w:fill="DCF3EC"/>
          </w:tcPr>
          <w:p>
            <w:pPr>
              <w:spacing w:line="276" w:lineRule="auto"/>
            </w:pPr>
            <w:r/>
            <w:r>
              <w:rPr>
                <w:sz w:val="18"/>
              </w:rPr>
              <w:t>#DCF3EC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200</w:t>
            </w:r>
          </w:p>
        </w:tc>
        <w:tc>
          <w:tcPr>
            <w:tcW w:type="dxa" w:w="4680"/>
            <w:shd w:val="clear" w:color="auto" w:fill="C3EDE1"/>
          </w:tcPr>
          <w:p>
            <w:pPr>
              <w:spacing w:line="276" w:lineRule="auto"/>
            </w:pPr>
            <w:r/>
            <w:r>
              <w:rPr>
                <w:sz w:val="18"/>
              </w:rPr>
              <w:t>#C3EDE1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300</w:t>
            </w:r>
          </w:p>
        </w:tc>
        <w:tc>
          <w:tcPr>
            <w:tcW w:type="dxa" w:w="4680"/>
            <w:shd w:val="clear" w:color="auto" w:fill="A9E3D5"/>
          </w:tcPr>
          <w:p>
            <w:pPr>
              <w:spacing w:line="276" w:lineRule="auto"/>
            </w:pPr>
            <w:r/>
            <w:r>
              <w:rPr>
                <w:sz w:val="18"/>
              </w:rPr>
              <w:t>#A9E3D5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4680"/>
            <w:shd w:val="clear" w:color="auto" w:fill="87D7C6"/>
          </w:tcPr>
          <w:p>
            <w:pPr>
              <w:spacing w:line="276" w:lineRule="auto"/>
            </w:pPr>
            <w:r/>
            <w:r>
              <w:rPr>
                <w:sz w:val="18"/>
              </w:rPr>
              <w:t>#87D7C6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500</w:t>
            </w:r>
          </w:p>
        </w:tc>
        <w:tc>
          <w:tcPr>
            <w:tcW w:type="dxa" w:w="4680"/>
            <w:shd w:val="clear" w:color="auto" w:fill="57C3AD"/>
          </w:tcPr>
          <w:p>
            <w:pPr>
              <w:spacing w:line="276" w:lineRule="auto"/>
            </w:pPr>
            <w:r/>
            <w:r>
              <w:rPr>
                <w:sz w:val="18"/>
              </w:rPr>
              <w:t>#57C3AD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600</w:t>
            </w:r>
          </w:p>
        </w:tc>
        <w:tc>
          <w:tcPr>
            <w:tcW w:type="dxa" w:w="4680"/>
            <w:shd w:val="clear" w:color="auto" w:fill="2FA98F"/>
          </w:tcPr>
          <w:p>
            <w:pPr>
              <w:spacing w:line="276" w:lineRule="auto"/>
            </w:pPr>
            <w:r/>
            <w:r>
              <w:rPr>
                <w:sz w:val="18"/>
              </w:rPr>
              <w:t>#2FA98F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700</w:t>
            </w:r>
          </w:p>
        </w:tc>
        <w:tc>
          <w:tcPr>
            <w:tcW w:type="dxa" w:w="4680"/>
            <w:shd w:val="clear" w:color="auto" w:fill="176B5D"/>
          </w:tcPr>
          <w:p>
            <w:pPr>
              <w:spacing w:line="276" w:lineRule="auto"/>
            </w:pPr>
            <w:r/>
            <w:r>
              <w:rPr>
                <w:sz w:val="18"/>
              </w:rPr>
              <w:t>#176B5D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900</w:t>
            </w:r>
          </w:p>
        </w:tc>
        <w:tc>
          <w:tcPr>
            <w:tcW w:type="dxa" w:w="4680"/>
            <w:shd w:val="clear" w:color="auto" w:fill="0C3B33"/>
          </w:tcPr>
          <w:p>
            <w:pPr>
              <w:spacing w:line="276" w:lineRule="auto"/>
            </w:pPr>
            <w:r/>
            <w:r>
              <w:rPr>
                <w:sz w:val="18"/>
              </w:rPr>
              <w:t>#0C3B33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4.4. Sunrise (acento cálido y advertencia)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Escalón</w:t>
            </w:r>
          </w:p>
        </w:tc>
        <w:tc>
          <w:tcPr>
            <w:tcW w:type="dxa" w:w="468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HEX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4680"/>
            <w:shd w:val="clear" w:color="auto" w:fill="FFF4E9"/>
          </w:tcPr>
          <w:p>
            <w:pPr>
              <w:spacing w:line="276" w:lineRule="auto"/>
            </w:pPr>
            <w:r/>
            <w:r>
              <w:rPr>
                <w:sz w:val="18"/>
              </w:rPr>
              <w:t>#FFF4E9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4680"/>
            <w:shd w:val="clear" w:color="auto" w:fill="FFE7CE"/>
          </w:tcPr>
          <w:p>
            <w:pPr>
              <w:spacing w:line="276" w:lineRule="auto"/>
            </w:pPr>
            <w:r/>
            <w:r>
              <w:rPr>
                <w:sz w:val="18"/>
              </w:rPr>
              <w:t>#FFE7CE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300</w:t>
            </w:r>
          </w:p>
        </w:tc>
        <w:tc>
          <w:tcPr>
            <w:tcW w:type="dxa" w:w="4680"/>
            <w:shd w:val="clear" w:color="auto" w:fill="FFC894"/>
          </w:tcPr>
          <w:p>
            <w:pPr>
              <w:spacing w:line="276" w:lineRule="auto"/>
            </w:pPr>
            <w:r/>
            <w:r>
              <w:rPr>
                <w:sz w:val="18"/>
              </w:rPr>
              <w:t>#FFC894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4680"/>
            <w:shd w:val="clear" w:color="auto" w:fill="FFB36B"/>
          </w:tcPr>
          <w:p>
            <w:pPr>
              <w:spacing w:line="276" w:lineRule="auto"/>
            </w:pPr>
            <w:r/>
            <w:r>
              <w:rPr>
                <w:sz w:val="18"/>
              </w:rPr>
              <w:t>#FFB36B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500</w:t>
            </w:r>
          </w:p>
        </w:tc>
        <w:tc>
          <w:tcPr>
            <w:tcW w:type="dxa" w:w="4680"/>
            <w:shd w:val="clear" w:color="auto" w:fill="F5933B"/>
          </w:tcPr>
          <w:p>
            <w:pPr>
              <w:spacing w:line="276" w:lineRule="auto"/>
            </w:pPr>
            <w:r/>
            <w:r>
              <w:rPr>
                <w:sz w:val="18"/>
              </w:rPr>
              <w:t>#F5933B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600</w:t>
            </w:r>
          </w:p>
        </w:tc>
        <w:tc>
          <w:tcPr>
            <w:tcW w:type="dxa" w:w="4680"/>
            <w:shd w:val="clear" w:color="auto" w:fill="DB7A1F"/>
          </w:tcPr>
          <w:p>
            <w:pPr>
              <w:spacing w:line="276" w:lineRule="auto"/>
            </w:pPr>
            <w:r/>
            <w:r>
              <w:rPr>
                <w:sz w:val="18"/>
              </w:rPr>
              <w:t>#DB7A1F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700</w:t>
            </w:r>
          </w:p>
        </w:tc>
        <w:tc>
          <w:tcPr>
            <w:tcW w:type="dxa" w:w="4680"/>
            <w:shd w:val="clear" w:color="auto" w:fill="9A5A1C"/>
          </w:tcPr>
          <w:p>
            <w:pPr>
              <w:spacing w:line="276" w:lineRule="auto"/>
            </w:pPr>
            <w:r/>
            <w:r>
              <w:rPr>
                <w:sz w:val="18"/>
              </w:rPr>
              <w:t>#9A5A1C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900</w:t>
            </w:r>
          </w:p>
        </w:tc>
        <w:tc>
          <w:tcPr>
            <w:tcW w:type="dxa" w:w="4680"/>
            <w:shd w:val="clear" w:color="auto" w:fill="5E360F"/>
          </w:tcPr>
          <w:p>
            <w:pPr>
              <w:spacing w:line="276" w:lineRule="auto"/>
            </w:pPr>
            <w:r/>
            <w:r>
              <w:rPr>
                <w:sz w:val="18"/>
              </w:rPr>
              <w:t>#5E360F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4.5. Rose (error y acción destructiva)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Escalón</w:t>
            </w:r>
          </w:p>
        </w:tc>
        <w:tc>
          <w:tcPr>
            <w:tcW w:type="dxa" w:w="468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HEX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4680"/>
            <w:shd w:val="clear" w:color="auto" w:fill="FFF2EF"/>
          </w:tcPr>
          <w:p>
            <w:pPr>
              <w:spacing w:line="276" w:lineRule="auto"/>
            </w:pPr>
            <w:r/>
            <w:r>
              <w:rPr>
                <w:sz w:val="18"/>
              </w:rPr>
              <w:t>#FFF2EF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4680"/>
            <w:shd w:val="clear" w:color="auto" w:fill="FFD1C8"/>
          </w:tcPr>
          <w:p>
            <w:pPr>
              <w:spacing w:line="276" w:lineRule="auto"/>
            </w:pPr>
            <w:r/>
            <w:r>
              <w:rPr>
                <w:sz w:val="18"/>
              </w:rPr>
              <w:t>#FFD1C8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300</w:t>
            </w:r>
          </w:p>
        </w:tc>
        <w:tc>
          <w:tcPr>
            <w:tcW w:type="dxa" w:w="4680"/>
            <w:shd w:val="clear" w:color="auto" w:fill="F4A493"/>
          </w:tcPr>
          <w:p>
            <w:pPr>
              <w:spacing w:line="276" w:lineRule="auto"/>
            </w:pPr>
            <w:r/>
            <w:r>
              <w:rPr>
                <w:sz w:val="18"/>
              </w:rPr>
              <w:t>#F4A493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4680"/>
            <w:shd w:val="clear" w:color="auto" w:fill="E9715A"/>
          </w:tcPr>
          <w:p>
            <w:pPr>
              <w:spacing w:line="276" w:lineRule="auto"/>
            </w:pPr>
            <w:r/>
            <w:r>
              <w:rPr>
                <w:sz w:val="18"/>
              </w:rPr>
              <w:t>#E9715A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500</w:t>
            </w:r>
          </w:p>
        </w:tc>
        <w:tc>
          <w:tcPr>
            <w:tcW w:type="dxa" w:w="4680"/>
            <w:shd w:val="clear" w:color="auto" w:fill="D9482F"/>
          </w:tcPr>
          <w:p>
            <w:pPr>
              <w:spacing w:line="276" w:lineRule="auto"/>
            </w:pPr>
            <w:r/>
            <w:r>
              <w:rPr>
                <w:sz w:val="18"/>
              </w:rPr>
              <w:t>#D9482F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600</w:t>
            </w:r>
          </w:p>
        </w:tc>
        <w:tc>
          <w:tcPr>
            <w:tcW w:type="dxa" w:w="4680"/>
            <w:shd w:val="clear" w:color="auto" w:fill="B73A24"/>
          </w:tcPr>
          <w:p>
            <w:pPr>
              <w:spacing w:line="276" w:lineRule="auto"/>
            </w:pPr>
            <w:r/>
            <w:r>
              <w:rPr>
                <w:sz w:val="18"/>
              </w:rPr>
              <w:t>#B73A24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700</w:t>
            </w:r>
          </w:p>
        </w:tc>
        <w:tc>
          <w:tcPr>
            <w:tcW w:type="dxa" w:w="4680"/>
            <w:shd w:val="clear" w:color="auto" w:fill="8D2D1E"/>
          </w:tcPr>
          <w:p>
            <w:pPr>
              <w:spacing w:line="276" w:lineRule="auto"/>
            </w:pPr>
            <w:r/>
            <w:r>
              <w:rPr>
                <w:sz w:val="18"/>
              </w:rPr>
              <w:t>#8D2D1E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900</w:t>
            </w:r>
          </w:p>
        </w:tc>
        <w:tc>
          <w:tcPr>
            <w:tcW w:type="dxa" w:w="4680"/>
            <w:shd w:val="clear" w:color="auto" w:fill="5A1B11"/>
          </w:tcPr>
          <w:p>
            <w:pPr>
              <w:spacing w:line="276" w:lineRule="auto"/>
            </w:pPr>
            <w:r/>
            <w:r>
              <w:rPr>
                <w:sz w:val="18"/>
              </w:rPr>
              <w:t>#5A1B11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5. Paleta semántica (tema claro)</w:t>
      </w:r>
    </w:p>
    <w:p>
      <w:r>
        <w:rPr>
          <w:b w:val="0"/>
          <w:i w:val="0"/>
        </w:rPr>
        <w:t>Vectra Cure V2 tiene un único tema claro. Los contrastes se resuelven con ink sobre superficies blancas y mist; no existe interruptor de modo oscuro.</w:t>
      </w:r>
    </w:p>
    <w:p>
      <w:pPr>
        <w:pStyle w:val="Heading2"/>
      </w:pPr>
      <w:r>
        <w:rPr>
          <w:rFonts w:ascii="Times New Roman" w:hAnsi="Times New Roman"/>
        </w:rPr>
        <w:t>5.1. Fondos y superficies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HEX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Lienzo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bg-main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/>
            <w:r>
              <w:rPr>
                <w:sz w:val="18"/>
              </w:rPr>
              <w:t>#FFFFFF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Fondo general de las páginas.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Descanso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bg-rest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sz w:val="18"/>
              </w:rPr>
              <w:t>#EDF6F7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Hero, secciones suaves y lienzo del mapa.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Superficie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bg-surface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/>
            <w:r>
              <w:rPr>
                <w:sz w:val="18"/>
              </w:rPr>
              <w:t>#FFFFFF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Tarjetas, modales y buscador.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Sutil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bg-subtle</w:t>
            </w:r>
          </w:p>
        </w:tc>
        <w:tc>
          <w:tcPr>
            <w:tcW w:type="dxa" w:w="2340"/>
            <w:shd w:val="clear" w:color="auto" w:fill="DDEBED"/>
          </w:tcPr>
          <w:p>
            <w:pPr>
              <w:spacing w:line="276" w:lineRule="auto"/>
            </w:pPr>
            <w:r/>
            <w:r>
              <w:rPr>
                <w:sz w:val="18"/>
              </w:rPr>
              <w:t>#DDEBED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Hover neutro y cabeceras de tabla.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Inversa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bg-inverse</w:t>
            </w:r>
          </w:p>
        </w:tc>
        <w:tc>
          <w:tcPr>
            <w:tcW w:type="dxa" w:w="2340"/>
            <w:shd w:val="clear" w:color="auto" w:fill="112530"/>
          </w:tcPr>
          <w:p>
            <w:pPr>
              <w:spacing w:line="276" w:lineRule="auto"/>
            </w:pPr>
            <w:r/>
            <w:r>
              <w:rPr>
                <w:sz w:val="18"/>
              </w:rPr>
              <w:t>#112530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Footer, navegación y superficies oscuras.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5.2. Texto y bordes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HEX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Texto primario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text-primary</w:t>
            </w:r>
          </w:p>
        </w:tc>
        <w:tc>
          <w:tcPr>
            <w:tcW w:type="dxa" w:w="2340"/>
            <w:shd w:val="clear" w:color="auto" w:fill="112530"/>
          </w:tcPr>
          <w:p>
            <w:pPr>
              <w:spacing w:line="276" w:lineRule="auto"/>
            </w:pPr>
            <w:r/>
            <w:r>
              <w:rPr>
                <w:sz w:val="18"/>
              </w:rPr>
              <w:t>#112530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Títulos, nombres y precios.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Texto secundario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text-secondary</w:t>
            </w:r>
          </w:p>
        </w:tc>
        <w:tc>
          <w:tcPr>
            <w:tcW w:type="dxa" w:w="2340"/>
            <w:shd w:val="clear" w:color="auto" w:fill="29414B"/>
          </w:tcPr>
          <w:p>
            <w:pPr>
              <w:spacing w:line="276" w:lineRule="auto"/>
            </w:pPr>
            <w:r/>
            <w:r>
              <w:rPr>
                <w:sz w:val="18"/>
              </w:rPr>
              <w:t>#29414B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Descripción y texto de apoyo.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Texto muted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text-muted</w:t>
            </w:r>
          </w:p>
        </w:tc>
        <w:tc>
          <w:tcPr>
            <w:tcW w:type="dxa" w:w="2340"/>
            <w:shd w:val="clear" w:color="auto" w:fill="667B83"/>
          </w:tcPr>
          <w:p>
            <w:pPr>
              <w:spacing w:line="276" w:lineRule="auto"/>
            </w:pPr>
            <w:r/>
            <w:r>
              <w:rPr>
                <w:sz w:val="18"/>
              </w:rPr>
              <w:t>#667B83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Distancias, horarios y metadatos.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Enlace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text-link</w:t>
            </w:r>
          </w:p>
        </w:tc>
        <w:tc>
          <w:tcPr>
            <w:tcW w:type="dxa" w:w="2340"/>
            <w:shd w:val="clear" w:color="auto" w:fill="276EF1"/>
          </w:tcPr>
          <w:p>
            <w:pPr>
              <w:spacing w:line="276" w:lineRule="auto"/>
            </w:pPr>
            <w:r/>
            <w:r>
              <w:rPr>
                <w:sz w:val="18"/>
              </w:rPr>
              <w:t>#276EF1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Enlaces y acciones textuales.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Sobre marca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text-on-brand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/>
            <w:r>
              <w:rPr>
                <w:sz w:val="18"/>
              </w:rPr>
              <w:t>#FFFFFF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Texto sobre azul o sobre ink.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Borde default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border-default</w:t>
            </w:r>
          </w:p>
        </w:tc>
        <w:tc>
          <w:tcPr>
            <w:tcW w:type="dxa" w:w="2340"/>
            <w:shd w:val="clear" w:color="auto" w:fill="D7E5E7"/>
          </w:tcPr>
          <w:p>
            <w:pPr>
              <w:spacing w:line="276" w:lineRule="auto"/>
            </w:pPr>
            <w:r/>
            <w:r>
              <w:rPr>
                <w:sz w:val="18"/>
              </w:rPr>
              <w:t>#D7E5E7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Controles y divisores.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Borde fuerte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border-strong</w:t>
            </w:r>
          </w:p>
        </w:tc>
        <w:tc>
          <w:tcPr>
            <w:tcW w:type="dxa" w:w="2340"/>
            <w:shd w:val="clear" w:color="auto" w:fill="B9CED2"/>
          </w:tcPr>
          <w:p>
            <w:pPr>
              <w:spacing w:line="276" w:lineRule="auto"/>
            </w:pPr>
            <w:r/>
            <w:r>
              <w:rPr>
                <w:sz w:val="18"/>
              </w:rPr>
              <w:t>#B9CED2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Controles destacados.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Foco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border-focus</w:t>
            </w:r>
          </w:p>
        </w:tc>
        <w:tc>
          <w:tcPr>
            <w:tcW w:type="dxa" w:w="2340"/>
            <w:shd w:val="clear" w:color="auto" w:fill="276EF1"/>
          </w:tcPr>
          <w:p>
            <w:pPr>
              <w:spacing w:line="276" w:lineRule="auto"/>
            </w:pPr>
            <w:r/>
            <w:r>
              <w:rPr>
                <w:sz w:val="18"/>
              </w:rPr>
              <w:t>#276EF1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Anillo de foco visible (halo azul al 35%).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5.3. Acciones e intenciones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HEX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Primaria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action-primary</w:t>
            </w:r>
          </w:p>
        </w:tc>
        <w:tc>
          <w:tcPr>
            <w:tcW w:type="dxa" w:w="2340"/>
            <w:shd w:val="clear" w:color="auto" w:fill="276EF1"/>
          </w:tcPr>
          <w:p>
            <w:pPr>
              <w:spacing w:line="276" w:lineRule="auto"/>
            </w:pPr>
            <w:r/>
            <w:r>
              <w:rPr>
                <w:sz w:val="18"/>
              </w:rPr>
              <w:t>#276EF1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CTA y selección activa.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Primaria hover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action-primary-hover</w:t>
            </w:r>
          </w:p>
        </w:tc>
        <w:tc>
          <w:tcPr>
            <w:tcW w:type="dxa" w:w="2340"/>
            <w:shd w:val="clear" w:color="auto" w:fill="1654C8"/>
          </w:tcPr>
          <w:p>
            <w:pPr>
              <w:spacing w:line="276" w:lineRule="auto"/>
            </w:pPr>
            <w:r/>
            <w:r>
              <w:rPr>
                <w:sz w:val="18"/>
              </w:rPr>
              <w:t>#1654C8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Hover y estado presionado.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Primaria suave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action-primary-subtle</w:t>
            </w:r>
          </w:p>
        </w:tc>
        <w:tc>
          <w:tcPr>
            <w:tcW w:type="dxa" w:w="2340"/>
            <w:shd w:val="clear" w:color="auto" w:fill="EEF3FE"/>
          </w:tcPr>
          <w:p>
            <w:pPr>
              <w:spacing w:line="276" w:lineRule="auto"/>
            </w:pPr>
            <w:r/>
            <w:r>
              <w:rPr>
                <w:sz w:val="18"/>
              </w:rPr>
              <w:t>#EEF3FE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Chips y selección suave.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Secundaria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action-secondary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/>
            <w:r>
              <w:rPr>
                <w:sz w:val="18"/>
              </w:rPr>
              <w:t>#FFFFFF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Botón con borde #B9CED2.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Deshabilitada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action-disabled</w:t>
            </w:r>
          </w:p>
        </w:tc>
        <w:tc>
          <w:tcPr>
            <w:tcW w:type="dxa" w:w="2340"/>
            <w:shd w:val="clear" w:color="auto" w:fill="D7E5E7"/>
          </w:tcPr>
          <w:p>
            <w:pPr>
              <w:spacing w:line="276" w:lineRule="auto"/>
            </w:pPr>
            <w:r/>
            <w:r>
              <w:rPr>
                <w:sz w:val="18"/>
              </w:rPr>
              <w:t>#D7E5E7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Control no disponible.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Éxito / verificación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feedback-success</w:t>
            </w:r>
          </w:p>
        </w:tc>
        <w:tc>
          <w:tcPr>
            <w:tcW w:type="dxa" w:w="2340"/>
            <w:shd w:val="clear" w:color="auto" w:fill="176B5D"/>
          </w:tcPr>
          <w:p>
            <w:pPr>
              <w:spacing w:line="276" w:lineRule="auto"/>
            </w:pPr>
            <w:r/>
            <w:r>
              <w:rPr>
                <w:sz w:val="18"/>
              </w:rPr>
              <w:t>#176B5D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Texto de verificación sobre fondo #DCF3EC.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Apoyo verde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feedback-support</w:t>
            </w:r>
          </w:p>
        </w:tc>
        <w:tc>
          <w:tcPr>
            <w:tcW w:type="dxa" w:w="2340"/>
            <w:shd w:val="clear" w:color="auto" w:fill="87D7C6"/>
          </w:tcPr>
          <w:p>
            <w:pPr>
              <w:spacing w:line="276" w:lineRule="auto"/>
            </w:pPr>
            <w:r/>
            <w:r>
              <w:rPr>
                <w:sz w:val="18"/>
              </w:rPr>
              <w:t>#87D7C6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Realces de credenciales y disponibilidad.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Advertencia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feedback-warning</w:t>
            </w:r>
          </w:p>
        </w:tc>
        <w:tc>
          <w:tcPr>
            <w:tcW w:type="dxa" w:w="2340"/>
            <w:shd w:val="clear" w:color="auto" w:fill="9A5A1C"/>
          </w:tcPr>
          <w:p>
            <w:pPr>
              <w:spacing w:line="276" w:lineRule="auto"/>
            </w:pPr>
            <w:r/>
            <w:r>
              <w:rPr>
                <w:sz w:val="18"/>
              </w:rPr>
              <w:t>#9A5A1C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Pago en ventanilla y saldo pendiente, sobre fondo #FFE7CE.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Acento cálido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accent-warm</w:t>
            </w:r>
          </w:p>
        </w:tc>
        <w:tc>
          <w:tcPr>
            <w:tcW w:type="dxa" w:w="2340"/>
            <w:shd w:val="clear" w:color="auto" w:fill="FFB36B"/>
          </w:tcPr>
          <w:p>
            <w:pPr>
              <w:spacing w:line="276" w:lineRule="auto"/>
            </w:pPr>
            <w:r/>
            <w:r>
              <w:rPr>
                <w:sz w:val="18"/>
              </w:rPr>
              <w:t>#FFB36B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Segundo pin del mapa y realces.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Error / destructivo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feedback-error</w:t>
            </w:r>
          </w:p>
        </w:tc>
        <w:tc>
          <w:tcPr>
            <w:tcW w:type="dxa" w:w="2340"/>
            <w:shd w:val="clear" w:color="auto" w:fill="8D2D1E"/>
          </w:tcPr>
          <w:p>
            <w:pPr>
              <w:spacing w:line="276" w:lineRule="auto"/>
            </w:pPr>
            <w:r/>
            <w:r>
              <w:rPr>
                <w:sz w:val="18"/>
              </w:rPr>
              <w:t>#8D2D1E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Aviso sobre #FFF2EF (borde #FFD1C8); botón de cancelación #D9482F.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6. Reglas de uso del color</w:t>
      </w:r>
    </w:p>
    <w:p>
      <w:pPr>
        <w:pStyle w:val="ListBullet"/>
        <w:spacing w:line="360" w:lineRule="auto"/>
      </w:pPr>
      <w:r>
        <w:t>El azul primario se reserva para la acción principal, el foco, los pines seleccionados y los enlaces activos.</w:t>
      </w:r>
    </w:p>
    <w:p>
      <w:pPr>
        <w:pStyle w:val="ListBullet"/>
        <w:spacing w:line="360" w:lineRule="auto"/>
      </w:pPr>
      <w:r>
        <w:t>El agua mineral identifica confianza, verificación y disponibilidad; no reemplaza al azul como CTA principal.</w:t>
      </w:r>
    </w:p>
    <w:p>
      <w:pPr>
        <w:pStyle w:val="ListBullet"/>
        <w:spacing w:line="360" w:lineRule="auto"/>
      </w:pPr>
      <w:r>
        <w:t>El rose se utiliza únicamente para errores, cancelación y acciones destructivas; nunca para contenido informativo general.</w:t>
      </w:r>
    </w:p>
    <w:p>
      <w:pPr>
        <w:pStyle w:val="ListBullet"/>
        <w:spacing w:line="360" w:lineRule="auto"/>
      </w:pPr>
      <w:r>
        <w:t>El sunrise indica advertencia o estado pendiente, en especial el pago en ventanilla y el saldo por cubrir.</w:t>
      </w:r>
    </w:p>
    <w:p>
      <w:pPr>
        <w:pStyle w:val="ListBullet"/>
        <w:spacing w:line="360" w:lineRule="auto"/>
      </w:pPr>
      <w:r>
        <w:t>Ningún estado depende solo del color: cada uno incluye etiqueta, icono o mensaje.</w:t>
      </w:r>
    </w:p>
    <w:p>
      <w:pPr>
        <w:pStyle w:val="ListBullet"/>
        <w:spacing w:line="360" w:lineRule="auto"/>
      </w:pPr>
      <w:r>
        <w:t>Las combinaciones de texto y fondo alcanzan contraste WCAG AA: 4,5:1 para texto normal y 3:1 para texto grande o elementos gráficos esenciales.</w:t>
      </w:r>
    </w:p>
    <w:p>
      <w:pPr>
        <w:pStyle w:val="Heading1"/>
      </w:pPr>
      <w:r>
        <w:rPr>
          <w:rFonts w:ascii="Times New Roman" w:hAnsi="Times New Roman"/>
        </w:rPr>
        <w:t>7. Sistema tipográfico</w:t>
      </w:r>
    </w:p>
    <w:p>
      <w:r>
        <w:rPr>
          <w:b w:val="0"/>
          <w:i w:val="0"/>
        </w:rPr>
        <w:t>El emparejamiento combina Instrument Sans para títulos y acciones con Manrope para texto, datos y formularios. Ambas son familias sans serif contemporáneas; se diferencian por estructura y peso, lo que permite una jerarquía clara sin romper la estética tecnológica y clínica del producto. Se cargan como fuentes web desde Google Fonts en la plantilla base de la aplicación.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Clase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Familia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Pesos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Display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Instrument Sans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700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Hero de la landing; interletrado ligeramente negativo (~ -0,055 em).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Títulos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Instrument Sans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600–700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H1, H2, H3, títulos de tarjeta.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UI y acciones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700–800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Botones, chips y rótulos (eyebrow).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Texto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400–600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Cuerpo, navegación, formularios, datos y precios.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Fallback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Arial, system-ui, sans-serif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Regular a Bold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Sustitución cuando la fuente web no carga.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7.1. Escala tipográfica oficial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Familia / peso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Tamaño / línea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font-display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Instrument Sans 700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clamp 54–80 px / 1,02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Hero de la landing.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font-h1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Instrument Sans 700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34 px / 40 px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Título de página y de sección.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font-h2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Instrument Sans 600–700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22 px / 28 px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Bloques, modales y subsecciones.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font-h3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Instrument Sans 600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20 px / 26 px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Tarjeta de especialista y subtítulos.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font-eyebrow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800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11 px / 16 px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Rótulo en versalitas sobre el título; interletrado 0,12 em.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font-button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800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13 px / 16 px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CTA, botones y chips.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font-body-lg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400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18 px / 30 px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Introducciones y texto de apoyo.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font-body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400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15 px / 24 px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Párrafos, descripciones y formularios.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font-label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800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12 px / 16 px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Etiquetas de formulario.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font-data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500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13 px / 18 px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Distancia, horario, precio y metadatos.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font-caption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400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12 px / 16 px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Ayudas y notas no críticas.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7.2. Adaptación responsive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Escritorio (≥1024)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Tablet (768)</w:t>
            </w:r>
          </w:p>
        </w:tc>
        <w:tc>
          <w:tcPr>
            <w:tcW w:type="dxa" w:w="234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Móvil (390)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Hero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72–80 / 1,02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58–64 / 1,05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54 / 1,08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H1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34 / 40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32 / 38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28 / 34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H2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22 / 28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22 / 28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20 / 26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H3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20 / 26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20 / 26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18 / 24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Body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15 / 24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15 / 24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15 / 24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Data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13 / 18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13 / 18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/>
            <w:r>
              <w:rPr>
                <w:sz w:val="20"/>
              </w:rPr>
              <w:t>13 / 18</w:t>
            </w:r>
          </w:p>
        </w:tc>
      </w:tr>
    </w:tbl>
    <w:p>
      <w:r>
        <w:rPr>
          <w:b w:val="0"/>
          <w:i w:val="0"/>
        </w:rPr>
        <w:t>El tamaño de cuerpo se conserva en todos los anchos; solo se reduce la escala de títulos, y el hero usa una función clamp que interpola entre 54 y 80 px según el ancho de la ventana.</w:t>
      </w:r>
    </w:p>
    <w:p>
      <w:pPr>
        <w:pStyle w:val="Heading2"/>
      </w:pPr>
      <w:r>
        <w:rPr>
          <w:rFonts w:ascii="Times New Roman" w:hAnsi="Times New Roman"/>
        </w:rPr>
        <w:t>7.3. Muestras y uso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Muestra</w:t>
            </w:r>
          </w:p>
        </w:tc>
        <w:tc>
          <w:tcPr>
            <w:tcW w:type="dxa" w:w="468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Encuentra atención médica cerca de ti</w:t>
            </w:r>
          </w:p>
        </w:tc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Display / Hero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Especialistas recomendados</w:t>
            </w:r>
          </w:p>
        </w:tc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H2 / Sección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Dra. Valeria Salazar — Dermatología</w:t>
            </w:r>
          </w:p>
        </w:tc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H3 / Tarjeta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Consulta desde aprox. $35,00 USD</w:t>
            </w:r>
          </w:p>
        </w:tc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Body / Descripción</w:t>
            </w:r>
          </w:p>
        </w:tc>
      </w:tr>
      <w:tr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A 1,2 km · Odontología · ★ 4,8 (32 reseñas)</w:t>
            </w:r>
          </w:p>
        </w:tc>
        <w:tc>
          <w:tcPr>
            <w:tcW w:type="dxa" w:w="4680"/>
          </w:tcPr>
          <w:p>
            <w:pPr>
              <w:spacing w:line="276" w:lineRule="auto"/>
            </w:pPr>
            <w:r/>
            <w:r>
              <w:rPr>
                <w:sz w:val="20"/>
              </w:rPr>
              <w:t>Data / Metadatos</w:t>
            </w:r>
          </w:p>
        </w:tc>
      </w:tr>
    </w:tbl>
    <w:p>
      <w:r>
        <w:rPr>
          <w:b w:val="0"/>
          <w:i/>
        </w:rPr>
        <w:t>Nota: Instrument Sans y Manrope se cargan como fuentes web. Si no están instaladas en Microsoft Word, este archivo puede mostrar una sustitución local, pero las especificaciones de implementación permanecen indicadas en las tablas.</w:t>
      </w:r>
    </w:p>
    <w:p>
      <w:pPr>
        <w:pStyle w:val="Heading1"/>
      </w:pPr>
      <w:r>
        <w:rPr>
          <w:rFonts w:ascii="Times New Roman" w:hAnsi="Times New Roman"/>
        </w:rPr>
        <w:t>8. Reglas tipográficas de accesibilidad</w:t>
      </w:r>
    </w:p>
    <w:p>
      <w:pPr>
        <w:pStyle w:val="ListBullet"/>
        <w:spacing w:line="360" w:lineRule="auto"/>
      </w:pPr>
      <w:r>
        <w:t>El cuerpo de lectura es de 15 px y nunca baja de 12 px; los controles interactivos mantienen al menos 13 px de texto y 44 px de altura mínima.</w:t>
      </w:r>
    </w:p>
    <w:p>
      <w:pPr>
        <w:pStyle w:val="ListBullet"/>
        <w:spacing w:line="360" w:lineRule="auto"/>
      </w:pPr>
      <w:r>
        <w:t>El rótulo eyebrow puede usar 11 px porque va en versalitas, con peso 800 y alto interletrado: es un patrón de etiqueta breve, no de lectura corrida.</w:t>
      </w:r>
    </w:p>
    <w:p>
      <w:pPr>
        <w:pStyle w:val="ListBullet"/>
        <w:spacing w:line="360" w:lineRule="auto"/>
      </w:pPr>
      <w:r>
        <w:t>Se mantiene entre 45 y 75 caracteres por línea en bloques de lectura para evitar fatiga visual.</w:t>
      </w:r>
    </w:p>
    <w:p>
      <w:pPr>
        <w:pStyle w:val="ListBullet"/>
        <w:spacing w:line="360" w:lineRule="auto"/>
      </w:pPr>
      <w:r>
        <w:t>Se usa 400 para texto corrido, 500 para datos y etiquetas, y 600–800 para títulos y acciones; se evitan los pesos demasiado ligeros.</w:t>
      </w:r>
    </w:p>
    <w:p>
      <w:pPr>
        <w:pStyle w:val="ListBullet"/>
        <w:spacing w:line="360" w:lineRule="auto"/>
      </w:pPr>
      <w:r>
        <w:t>No se emplean mayúsculas sostenidas en párrafos ni en etiquetas largas; se reservan para el eyebrow y para códigos o estados breves.</w:t>
      </w:r>
    </w:p>
    <w:p>
      <w:pPr>
        <w:pStyle w:val="ListBullet"/>
        <w:spacing w:line="360" w:lineRule="auto"/>
      </w:pPr>
      <w:r>
        <w:t>La jerarquía no se comunica solo por tamaño o color: combina tamaño, peso, espaciado y posición.</w:t>
      </w:r>
    </w:p>
    <w:p>
      <w:pPr>
        <w:pStyle w:val="ListBullet"/>
        <w:spacing w:line="360" w:lineRule="auto"/>
      </w:pPr>
      <w:r>
        <w:t>Contraste verificado (WCAG 2.1): ink sobre blanco 15,8:1; texto secundario 10,8:1; azul de acción sobre blanco 4,6:1; texto blanco sobre azul 4,6:1 y sobre azul oscuro 6,7:1. El botón de cancelación (texto blanco sobre #D9482F, 4,3:1) cumple AA para texto grande por ir en negrita ≥ 14 px.</w:t>
      </w:r>
    </w:p>
    <w:p>
      <w:pPr>
        <w:pStyle w:val="Heading1"/>
      </w:pPr>
      <w:r>
        <w:rPr>
          <w:rFonts w:ascii="Times New Roman" w:hAnsi="Times New Roman"/>
        </w:rPr>
        <w:t>9. Mapeo resumido de tokens a componentes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12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Color</w:t>
            </w:r>
          </w:p>
        </w:tc>
        <w:tc>
          <w:tcPr>
            <w:tcW w:type="dxa" w:w="312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Tipografía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CTA “Agendar cita rápida”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action-primary #276EF1; hover #1654C8; texto #FFFFFF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800 · 13 px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Tarjeta de especialista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surface #FFFFFF; texto #112530; borde #D7E5E7; radio 16–18 px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H3 Instrument Sans 600; datos Manrope 500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Badge “Especialista Verificado”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texto #176B5D sobre #DCF3EC; radio 100 px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800 · 11 px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Chip de estado o especialidad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texto #176B5D sobre #E3F7F1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800 · 10–11 px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Aviso de pago pendiente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texto #8D2D1E sobre #FFF2EF; borde #FFD1C8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600 · 13 px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Botón de cancelación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fondo #D9482F; hover #B73A24; texto #FFFFFF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800 · 13 px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Mapa y filtros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pin y acción #276EF1; segundo pin #FFB36B; texto #667B83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500 · 13 px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Navegación y footer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fondo #112530; texto #EFF9F9 y #B6D0D2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 700 · 13 px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10. Nota de versión: migración del sistema V1 al V2</w:t>
      </w:r>
    </w:p>
    <w:p>
      <w:r>
        <w:rPr>
          <w:b w:val="0"/>
          <w:i w:val="0"/>
        </w:rPr>
        <w:t>Una primera versión de este sistema (V1) definía un azul cielo #0284C7, un acento esmeralda #10B981 con menta clara #D1FAE5, una tinta slate #0F172A, las tipografías Plus Jakarta Sans e Inter y un tema oscuro complementario, además de referencias a Google Maps para el mapa. Durante la implementación el equipo consolidó la identidad V2 descrita en este informe. El código de la aplicación y el documento docs/design/02_DESIGN_SYSTEM.md ya reflejan la versión V2; este informe se actualizó para mantener la coherencia con el producto entregado.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Aspecto</w:t>
            </w:r>
          </w:p>
        </w:tc>
        <w:tc>
          <w:tcPr>
            <w:tcW w:type="dxa" w:w="312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V1 (anterior)</w:t>
            </w:r>
          </w:p>
        </w:tc>
        <w:tc>
          <w:tcPr>
            <w:tcW w:type="dxa" w:w="3120"/>
            <w:shd w:val="clear" w:color="auto" w:fill="EDF6F7"/>
          </w:tcPr>
          <w:p>
            <w:pPr>
              <w:spacing w:line="276" w:lineRule="auto"/>
            </w:pPr>
            <w:r/>
            <w:r>
              <w:rPr>
                <w:b/>
                <w:sz w:val="20"/>
              </w:rPr>
              <w:t>V2 (vigente)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Color primario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#0284C7 (Sky Blue)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#276EF1 (Indigo Blue)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Acentos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#10B981 / #D1FAE5 (menta)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#87D7C6 (mineral) / #FFB36B (sunrise)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Tinta / texto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#0F172A (slate)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#112530 (ink)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Fondo de descanso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#F8FAFC (slate 50)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#EDF6F7 (mist)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Tipografía display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Plus Jakarta Sans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Instrument Sans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Tipografía de texto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Inter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Manrope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Temas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Claro y oscuro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Solo claro</w:t>
            </w:r>
          </w:p>
        </w:tc>
      </w:tr>
      <w:tr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Mapa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Google Maps</w:t>
            </w:r>
          </w:p>
        </w:tc>
        <w:tc>
          <w:tcPr>
            <w:tcW w:type="dxa" w:w="3120"/>
          </w:tcPr>
          <w:p>
            <w:pPr>
              <w:spacing w:line="276" w:lineRule="auto"/>
            </w:pPr>
            <w:r/>
            <w:r>
              <w:rPr>
                <w:sz w:val="20"/>
              </w:rPr>
              <w:t>Leaflet + OpenStreetMap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11. Conclusión</w:t>
      </w:r>
    </w:p>
    <w:p>
      <w:r>
        <w:rPr>
          <w:b w:val="0"/>
          <w:i w:val="0"/>
        </w:rPr>
        <w:t>El sistema de color y tipografía de Vectra Cure V2 traduce los valores de confianza, claridad y rapidez en reglas reutilizables. El azul guía las acciones y la navegación; el ink estructura la información; el agua mineral confirma credenciales y disponibilidad; y los colores de rose y sunrise comunican error o advertencia sin ambigüedad. Instrument Sans y Manrope completan una jerarquía moderna y legible que se adapta a escritorio, tablet y móvil sin perder consistencia, y que coincide exactamente con la interfaz implementada.</w:t>
      </w:r>
    </w:p>
    <w:p>
      <w:pPr>
        <w:pStyle w:val="Heading1"/>
      </w:pPr>
      <w:r>
        <w:rPr>
          <w:rFonts w:ascii="Times New Roman" w:hAnsi="Times New Roman"/>
        </w:rPr>
        <w:t>12. Referencias internas</w:t>
      </w:r>
    </w:p>
    <w:p>
      <w:pPr>
        <w:pStyle w:val="ListBullet"/>
        <w:spacing w:line="360" w:lineRule="auto"/>
      </w:pPr>
      <w:r>
        <w:t>Vectra Cure. (2026). Sistema de diseño V2: tokens, tipografía y componentes. docs/design/02_DESIGN_SYSTEM.md (archivo interno del proyecto).</w:t>
      </w:r>
    </w:p>
    <w:p>
      <w:pPr>
        <w:pStyle w:val="ListBullet"/>
        <w:spacing w:line="360" w:lineRule="auto"/>
      </w:pPr>
      <w:r>
        <w:t>Vectra Cure. (2026). Hoja de estilos de la aplicación. vectra_cure/static/css/vectra.css (implementación de referencia).</w:t>
      </w:r>
    </w:p>
    <w:p>
      <w:pPr>
        <w:pStyle w:val="ListBullet"/>
        <w:spacing w:line="360" w:lineRule="auto"/>
      </w:pPr>
      <w:r>
        <w:t>Vectra Cure. (2026). PRD Landing médica V2 y flujos de producto V2. docs/product/prds/ (fuente de verdad del producto).</w:t>
      </w:r>
    </w:p>
    <w:p>
      <w:pPr>
        <w:pStyle w:val="ListBullet"/>
        <w:spacing w:line="360" w:lineRule="auto"/>
      </w:pPr>
      <w:r>
        <w:t>W3C. (2018). Web Content Accessibility Guidelines (WCAG) 2.1. Criterios 1.4.3 y 1.4.11 de contraste.</w:t>
      </w:r>
    </w:p>
    <w:sectPr w:rsidR="00FC693F" w:rsidRPr="0006063C" w:rsidSect="00034616">
      <w:headerReference w:type="default" r:id="rId10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05840" cy="3650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3650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</w:pPr>
          <w:r>
            <w:fldChar w:fldCharType="begin"/>
            <w:instrText xml:space="preserve"> PAGE 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125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125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125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— Sistema de Colores y Tipografía (Vectra Cure V2)</dc:title>
  <dc:subject>Diseño de Experiencia de Usuario e Interfaces (UX/UI) — PUCE</dc:subject>
  <dc:creator>Isaac Unapucha; Justin Cedeño</dc:creator>
  <cp:keywords/>
  <dc:description>Alineado al sistema de diseño V2 implementado (vectra.css / 02_DESIGN_SYSTEM.md).</dc:description>
  <cp:lastModifiedBy/>
  <cp:revision>1</cp:revision>
  <dcterms:created xsi:type="dcterms:W3CDTF">2013-12-23T23:15:00Z</dcterms:created>
  <dcterms:modified xsi:type="dcterms:W3CDTF">2013-12-23T23:15:00Z</dcterms:modified>
  <cp:category>Informe académico</cp:category>
</cp:coreProperties>
</file>