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 流程操作指引</w:t>
      </w:r>
    </w:p>
    <w:p>
      <w:r>
        <w:t>日常流程统一在 OA 中发起，直属主管为第一审批人。</w:t>
      </w:r>
    </w:p>
    <w:p>
      <w:r>
        <w:t>操作要点：先提交申请、写明原因与预估时长，再进入审批流；审批通过后按节点推进。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节点</w:t>
            </w:r>
          </w:p>
        </w:tc>
        <w:tc>
          <w:tcPr>
            <w:tcW w:type="dxa" w:w="2880"/>
          </w:tcPr>
          <w:p>
            <w:r>
              <w:t>处理人</w:t>
            </w:r>
          </w:p>
        </w:tc>
        <w:tc>
          <w:tcPr>
            <w:tcW w:type="dxa" w:w="2880"/>
          </w:tcPr>
          <w:p>
            <w:r>
              <w:t>时限</w:t>
            </w:r>
          </w:p>
        </w:tc>
      </w:tr>
      <w:tr>
        <w:tc>
          <w:tcPr>
            <w:tcW w:type="dxa" w:w="2880"/>
          </w:tcPr>
          <w:p>
            <w:r>
              <w:t>提交申请</w:t>
            </w:r>
          </w:p>
        </w:tc>
        <w:tc>
          <w:tcPr>
            <w:tcW w:type="dxa" w:w="2880"/>
          </w:tcPr>
          <w:p>
            <w:r>
              <w:t>员工</w:t>
            </w:r>
          </w:p>
        </w:tc>
        <w:tc>
          <w:tcPr>
            <w:tcW w:type="dxa" w:w="2880"/>
          </w:tcPr>
          <w:p>
            <w:r>
              <w:t>随时</w:t>
            </w:r>
          </w:p>
        </w:tc>
      </w:tr>
      <w:tr>
        <w:tc>
          <w:tcPr>
            <w:tcW w:type="dxa" w:w="2880"/>
          </w:tcPr>
          <w:p>
            <w:r>
              <w:t>主管审批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1 个工作日</w:t>
            </w:r>
          </w:p>
        </w:tc>
      </w:tr>
      <w:tr>
        <w:tc>
          <w:tcPr>
            <w:tcW w:type="dxa" w:w="2880"/>
          </w:tcPr>
          <w:p>
            <w:r>
              <w:t>财务审核</w:t>
            </w:r>
          </w:p>
        </w:tc>
        <w:tc>
          <w:tcPr>
            <w:tcW w:type="dxa" w:w="2880"/>
          </w:tcPr>
          <w:p>
            <w:r>
              <w:t>财务部</w:t>
            </w:r>
          </w:p>
        </w:tc>
        <w:tc>
          <w:tcPr>
            <w:tcW w:type="dxa" w:w="2880"/>
          </w:tcPr>
          <w:p>
            <w:r>
              <w:t>2 个工作日</w:t>
            </w:r>
          </w:p>
        </w:tc>
      </w:tr>
      <w:tr>
        <w:tc>
          <w:tcPr>
            <w:tcW w:type="dxa" w:w="2880"/>
          </w:tcPr>
          <w:p>
            <w:r>
              <w:t>打款</w:t>
            </w:r>
          </w:p>
        </w:tc>
        <w:tc>
          <w:tcPr>
            <w:tcW w:type="dxa" w:w="2880"/>
          </w:tcPr>
          <w:p>
            <w:r>
              <w:t>财务部</w:t>
            </w:r>
          </w:p>
        </w:tc>
        <w:tc>
          <w:tcPr>
            <w:tcW w:type="dxa" w:w="2880"/>
          </w:tcPr>
          <w:p>
            <w:r>
              <w:t>发薪日前后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