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87AC" w14:textId="402549A3" w:rsidR="00E16F6C" w:rsidRPr="00A050B4" w:rsidRDefault="00466EDA" w:rsidP="00466EDA">
      <w:pPr>
        <w:jc w:val="both"/>
        <w:rPr>
          <w:rFonts w:ascii="Times New Roman" w:eastAsia="SimSun" w:hAnsi="Times New Roman" w:cs="Times New Roman"/>
          <w:b/>
          <w:bCs/>
          <w:sz w:val="28"/>
          <w:szCs w:val="28"/>
        </w:rPr>
      </w:pPr>
      <w:r w:rsidRPr="00A050B4">
        <w:rPr>
          <w:rFonts w:ascii="Times New Roman" w:eastAsia="SimSun" w:hAnsi="Times New Roman" w:cs="Times New Roman"/>
          <w:b/>
          <w:bCs/>
          <w:sz w:val="28"/>
          <w:szCs w:val="28"/>
        </w:rPr>
        <w:t>Project:</w:t>
      </w:r>
      <w:r w:rsidR="00DD6F0B" w:rsidRPr="00A050B4">
        <w:rPr>
          <w:rFonts w:ascii="Times New Roman" w:eastAsia="SimSun" w:hAnsi="Times New Roman" w:cs="Times New Roman"/>
          <w:b/>
          <w:bCs/>
          <w:sz w:val="28"/>
          <w:szCs w:val="28"/>
        </w:rPr>
        <w:t xml:space="preserve"> </w:t>
      </w:r>
      <w:r w:rsidR="00EA4AAE" w:rsidRPr="00A050B4">
        <w:rPr>
          <w:rFonts w:ascii="Times New Roman" w:eastAsia="SimSun" w:hAnsi="Times New Roman" w:cs="Times New Roman"/>
          <w:b/>
          <w:bCs/>
          <w:sz w:val="28"/>
          <w:szCs w:val="28"/>
        </w:rPr>
        <w:t>Exploring the Relationship Between Income and VCR Ownership: Descriptive Statistics and Chi-Square Analysis.</w:t>
      </w:r>
    </w:p>
    <w:p w14:paraId="4A2651EC" w14:textId="77777777" w:rsidR="00371098" w:rsidRDefault="00371098">
      <w:pPr>
        <w:jc w:val="center"/>
        <w:rPr>
          <w:rFonts w:ascii="Calibri" w:eastAsia="SimSun" w:hAnsi="Calibri" w:cs="Calibri"/>
          <w:b/>
          <w:bCs/>
          <w:sz w:val="24"/>
          <w:szCs w:val="24"/>
          <w:lang w:val="en-GB"/>
        </w:rPr>
      </w:pPr>
    </w:p>
    <w:p w14:paraId="3B219EBB" w14:textId="77777777" w:rsidR="00371098" w:rsidRDefault="00371098"/>
    <w:p w14:paraId="13D3372A" w14:textId="53913E36" w:rsidR="00371098" w:rsidRPr="00E16F6C" w:rsidRDefault="00000000">
      <w:pPr>
        <w:rPr>
          <w:rFonts w:ascii="Times New Roman" w:eastAsia="SimSun" w:hAnsi="Times New Roman" w:cs="Times New Roman"/>
          <w:b/>
          <w:bCs/>
          <w:sz w:val="24"/>
          <w:szCs w:val="24"/>
          <w:lang w:val="en-GB"/>
        </w:rPr>
      </w:pPr>
      <w:r w:rsidRPr="00E16F6C">
        <w:rPr>
          <w:rFonts w:ascii="Times New Roman" w:eastAsia="SimSun" w:hAnsi="Times New Roman" w:cs="Times New Roman"/>
          <w:b/>
          <w:bCs/>
          <w:sz w:val="24"/>
          <w:szCs w:val="24"/>
          <w:lang w:val="en-GB"/>
        </w:rPr>
        <w:t>1.0</w:t>
      </w:r>
      <w:r w:rsidR="00E16F6C">
        <w:rPr>
          <w:rFonts w:ascii="Times New Roman" w:eastAsia="SimSun" w:hAnsi="Times New Roman" w:cs="Times New Roman"/>
          <w:b/>
          <w:bCs/>
          <w:sz w:val="24"/>
          <w:szCs w:val="24"/>
          <w:lang w:val="en-GB"/>
        </w:rPr>
        <w:t xml:space="preserve">. </w:t>
      </w:r>
      <w:r w:rsidRPr="00E16F6C">
        <w:rPr>
          <w:rFonts w:ascii="Times New Roman" w:eastAsia="SimSun" w:hAnsi="Times New Roman" w:cs="Times New Roman"/>
          <w:b/>
          <w:bCs/>
          <w:sz w:val="24"/>
          <w:szCs w:val="24"/>
          <w:lang w:val="en-GB"/>
        </w:rPr>
        <w:t>Introduction</w:t>
      </w:r>
    </w:p>
    <w:p w14:paraId="28F807D2" w14:textId="77777777" w:rsidR="00371098" w:rsidRDefault="00371098">
      <w:pPr>
        <w:rPr>
          <w:rFonts w:ascii="Calibri" w:eastAsia="SimSun" w:hAnsi="Calibri" w:cs="Calibri"/>
          <w:b/>
          <w:bCs/>
          <w:sz w:val="24"/>
          <w:szCs w:val="24"/>
          <w:lang w:val="en-GB"/>
        </w:rPr>
      </w:pPr>
    </w:p>
    <w:p w14:paraId="79C9B59D" w14:textId="77777777" w:rsidR="00E16F6C" w:rsidRPr="00E16F6C" w:rsidRDefault="00E16F6C" w:rsidP="00E16F6C">
      <w:pPr>
        <w:jc w:val="both"/>
        <w:rPr>
          <w:rFonts w:ascii="Times New Roman" w:eastAsia="SimSun" w:hAnsi="Times New Roman" w:cs="Times New Roman"/>
          <w:color w:val="0E101A"/>
          <w:sz w:val="24"/>
          <w:szCs w:val="24"/>
          <w:lang w:val="en-GB"/>
        </w:rPr>
      </w:pPr>
      <w:r w:rsidRPr="00E16F6C">
        <w:rPr>
          <w:rFonts w:ascii="Times New Roman" w:eastAsia="SimSun" w:hAnsi="Times New Roman" w:cs="Times New Roman"/>
          <w:color w:val="0E101A"/>
          <w:sz w:val="24"/>
          <w:szCs w:val="24"/>
          <w:lang w:val="en-GB"/>
        </w:rPr>
        <w:t>The analysis delves into the interplay between personal electronics purchases and individuals' income levels. It serves as a comprehensive overview of statistical insights drawn from two key variables: individual purchases (the independent variable) and the corresponding income levels (the dependent variable). Through rigorous statistical procedures, the study aims to illuminate the nuanced relationship between these factors.</w:t>
      </w:r>
    </w:p>
    <w:p w14:paraId="382AD26C" w14:textId="77777777" w:rsidR="00E16F6C" w:rsidRPr="00E16F6C" w:rsidRDefault="00E16F6C" w:rsidP="00E16F6C">
      <w:pPr>
        <w:jc w:val="both"/>
        <w:rPr>
          <w:rFonts w:ascii="Times New Roman" w:eastAsia="SimSun" w:hAnsi="Times New Roman" w:cs="Times New Roman"/>
          <w:color w:val="0E101A"/>
          <w:sz w:val="24"/>
          <w:szCs w:val="24"/>
          <w:lang w:val="en-GB"/>
        </w:rPr>
      </w:pPr>
    </w:p>
    <w:p w14:paraId="4A493548" w14:textId="0393CF1A" w:rsidR="00E16F6C" w:rsidRPr="00E16F6C" w:rsidRDefault="00E16F6C" w:rsidP="00E16F6C">
      <w:pPr>
        <w:jc w:val="both"/>
        <w:rPr>
          <w:rFonts w:ascii="Times New Roman" w:eastAsia="SimSun" w:hAnsi="Times New Roman" w:cs="Times New Roman"/>
          <w:color w:val="0E101A"/>
          <w:sz w:val="24"/>
          <w:szCs w:val="24"/>
          <w:lang w:val="en-GB"/>
        </w:rPr>
      </w:pPr>
      <w:r w:rsidRPr="00E16F6C">
        <w:rPr>
          <w:rFonts w:ascii="Times New Roman" w:eastAsia="SimSun" w:hAnsi="Times New Roman" w:cs="Times New Roman"/>
          <w:color w:val="0E101A"/>
          <w:sz w:val="24"/>
          <w:szCs w:val="24"/>
          <w:lang w:val="en-GB"/>
        </w:rPr>
        <w:t>To deepen our understanding, a third variable was introduced as a control parameter. This additional element allows for a more nuanced examination of the significance level inherent in the relationship between personal electronics expenditures and income stories.</w:t>
      </w:r>
    </w:p>
    <w:p w14:paraId="251CD9CC" w14:textId="77777777" w:rsidR="00E16F6C" w:rsidRPr="00E16F6C" w:rsidRDefault="00E16F6C" w:rsidP="00E16F6C">
      <w:pPr>
        <w:jc w:val="both"/>
        <w:rPr>
          <w:rFonts w:ascii="Times New Roman" w:eastAsia="SimSun" w:hAnsi="Times New Roman" w:cs="Times New Roman"/>
          <w:color w:val="0E101A"/>
          <w:sz w:val="24"/>
          <w:szCs w:val="24"/>
          <w:lang w:val="en-GB"/>
        </w:rPr>
      </w:pPr>
    </w:p>
    <w:p w14:paraId="758DDEB3" w14:textId="4CA7EE6E" w:rsidR="00E16F6C" w:rsidRPr="00E16F6C" w:rsidRDefault="00E16F6C" w:rsidP="00E16F6C">
      <w:pPr>
        <w:jc w:val="both"/>
        <w:rPr>
          <w:rFonts w:ascii="Times New Roman" w:eastAsia="SimSun" w:hAnsi="Times New Roman" w:cs="Times New Roman"/>
          <w:color w:val="0E101A"/>
          <w:sz w:val="24"/>
          <w:szCs w:val="24"/>
          <w:lang w:val="en-GB"/>
        </w:rPr>
      </w:pPr>
      <w:r w:rsidRPr="00E16F6C">
        <w:rPr>
          <w:rFonts w:ascii="Times New Roman" w:eastAsia="SimSun" w:hAnsi="Times New Roman" w:cs="Times New Roman"/>
          <w:color w:val="0E101A"/>
          <w:sz w:val="24"/>
          <w:szCs w:val="24"/>
          <w:lang w:val="en-GB"/>
        </w:rPr>
        <w:t>Utilizing the powerful analytical capabilities of the SPSS application, the study employed Chi-square as a robust statistical tool. Chi-square testing stands as a reliable method for gauging the strength and direction of relationships within datasets. This statistical approach provides a clear framework for evaluating the correlation between variables, offering valuable insights into consumer behaviour and income dynamics.</w:t>
      </w:r>
    </w:p>
    <w:p w14:paraId="3F3C43E9" w14:textId="77777777" w:rsidR="00E16F6C" w:rsidRPr="00E16F6C" w:rsidRDefault="00E16F6C" w:rsidP="00E16F6C">
      <w:pPr>
        <w:jc w:val="both"/>
        <w:rPr>
          <w:rFonts w:ascii="Times New Roman" w:eastAsia="SimSun" w:hAnsi="Times New Roman" w:cs="Times New Roman"/>
          <w:color w:val="0E101A"/>
          <w:sz w:val="24"/>
          <w:szCs w:val="24"/>
          <w:lang w:val="en-GB"/>
        </w:rPr>
      </w:pPr>
    </w:p>
    <w:p w14:paraId="5EA5672C" w14:textId="77777777" w:rsidR="00E16F6C" w:rsidRPr="00E16F6C" w:rsidRDefault="00E16F6C" w:rsidP="00E16F6C">
      <w:pPr>
        <w:jc w:val="both"/>
        <w:rPr>
          <w:rFonts w:ascii="Times New Roman" w:eastAsia="SimSun" w:hAnsi="Times New Roman" w:cs="Times New Roman"/>
          <w:color w:val="0E101A"/>
          <w:sz w:val="24"/>
          <w:szCs w:val="24"/>
          <w:lang w:val="en-GB"/>
        </w:rPr>
      </w:pPr>
      <w:r w:rsidRPr="00E16F6C">
        <w:rPr>
          <w:rFonts w:ascii="Times New Roman" w:eastAsia="SimSun" w:hAnsi="Times New Roman" w:cs="Times New Roman"/>
          <w:color w:val="0E101A"/>
          <w:sz w:val="24"/>
          <w:szCs w:val="24"/>
          <w:lang w:val="en-GB"/>
        </w:rPr>
        <w:t>For further exploration and detailed findings, please refer to the data file provided alongside this analysis. This dataset serves as the foundation upon which the statistical conclusions and insights are built, offering a tangible representation of the intricate connections between personal electronics purchases and individuals' income profiles.</w:t>
      </w:r>
    </w:p>
    <w:p w14:paraId="0E666F99" w14:textId="77777777" w:rsidR="00E16F6C" w:rsidRPr="00E16F6C" w:rsidRDefault="00E16F6C" w:rsidP="00E16F6C">
      <w:pPr>
        <w:jc w:val="both"/>
        <w:rPr>
          <w:rFonts w:ascii="Times New Roman" w:eastAsia="SimSun" w:hAnsi="Times New Roman" w:cs="Times New Roman"/>
          <w:color w:val="0E101A"/>
          <w:sz w:val="24"/>
          <w:szCs w:val="24"/>
          <w:lang w:val="en-GB"/>
        </w:rPr>
      </w:pPr>
    </w:p>
    <w:p w14:paraId="701EE264" w14:textId="77777777" w:rsidR="00371098" w:rsidRPr="00E16F6C" w:rsidRDefault="00000000" w:rsidP="00E16F6C">
      <w:pPr>
        <w:jc w:val="both"/>
        <w:rPr>
          <w:rFonts w:ascii="Times New Roman" w:eastAsia="SimSun" w:hAnsi="Times New Roman" w:cs="Times New Roman"/>
          <w:sz w:val="24"/>
          <w:szCs w:val="24"/>
        </w:rPr>
      </w:pPr>
      <w:proofErr w:type="spellStart"/>
      <w:r w:rsidRPr="00E16F6C">
        <w:rPr>
          <w:rStyle w:val="name"/>
          <w:rFonts w:ascii="Times New Roman" w:hAnsi="Times New Roman" w:cs="Times New Roman"/>
          <w:i/>
          <w:sz w:val="24"/>
          <w:szCs w:val="24"/>
        </w:rPr>
        <w:t>demo.sav</w:t>
      </w:r>
      <w:proofErr w:type="spellEnd"/>
      <w:r w:rsidRPr="00E16F6C">
        <w:rPr>
          <w:rStyle w:val="name"/>
          <w:rFonts w:ascii="Times New Roman" w:hAnsi="Times New Roman" w:cs="Times New Roman"/>
          <w:i/>
          <w:sz w:val="24"/>
          <w:szCs w:val="24"/>
          <w:lang w:val="en-GB"/>
        </w:rPr>
        <w:t xml:space="preserve">. </w:t>
      </w:r>
      <w:r w:rsidRPr="00E16F6C">
        <w:rPr>
          <w:rFonts w:ascii="Times New Roman" w:eastAsia="SimSun" w:hAnsi="Times New Roman" w:cs="Times New Roman"/>
          <w:sz w:val="24"/>
          <w:szCs w:val="24"/>
        </w:rPr>
        <w:t>This is a hypothetical data file that concerns a purchased customer database, for the purpose of mailing monthly offers. Whether or not the customer responded to the offer is recorded, along with various demographic information.</w:t>
      </w:r>
    </w:p>
    <w:p w14:paraId="6BDFFE8D" w14:textId="77777777" w:rsidR="00371098" w:rsidRPr="00E16F6C" w:rsidRDefault="00371098" w:rsidP="00E16F6C">
      <w:pPr>
        <w:jc w:val="both"/>
        <w:rPr>
          <w:rFonts w:ascii="Times New Roman" w:eastAsia="SimSun" w:hAnsi="Times New Roman" w:cs="Times New Roman"/>
          <w:sz w:val="24"/>
          <w:szCs w:val="24"/>
        </w:rPr>
      </w:pPr>
    </w:p>
    <w:p w14:paraId="0B355A8A" w14:textId="77777777" w:rsidR="00371098" w:rsidRPr="00C421A6" w:rsidRDefault="00371098">
      <w:pPr>
        <w:rPr>
          <w:rFonts w:ascii="Times New Roman" w:eastAsia="SimSun" w:hAnsi="Times New Roman" w:cs="Times New Roman"/>
          <w:sz w:val="24"/>
          <w:szCs w:val="24"/>
        </w:rPr>
      </w:pPr>
    </w:p>
    <w:p w14:paraId="18DF2897" w14:textId="46FF4D31" w:rsidR="00371098" w:rsidRPr="00C421A6" w:rsidRDefault="00000000">
      <w:pPr>
        <w:rPr>
          <w:rFonts w:ascii="Times New Roman" w:eastAsia="Segoe UI" w:hAnsi="Times New Roman" w:cs="Times New Roman"/>
          <w:b/>
          <w:bCs/>
          <w:color w:val="151515"/>
          <w:sz w:val="24"/>
          <w:szCs w:val="24"/>
          <w:shd w:val="clear" w:color="auto" w:fill="FFFFFF"/>
        </w:rPr>
      </w:pPr>
      <w:r w:rsidRPr="00C421A6">
        <w:rPr>
          <w:rFonts w:ascii="Times New Roman" w:eastAsia="SimSun" w:hAnsi="Times New Roman" w:cs="Times New Roman"/>
          <w:b/>
          <w:bCs/>
          <w:sz w:val="24"/>
          <w:szCs w:val="24"/>
          <w:lang w:val="en-GB"/>
        </w:rPr>
        <w:t>2.0</w:t>
      </w:r>
      <w:r w:rsidR="00C421A6">
        <w:rPr>
          <w:rFonts w:ascii="Times New Roman" w:eastAsia="SimSun" w:hAnsi="Times New Roman" w:cs="Times New Roman"/>
          <w:b/>
          <w:bCs/>
          <w:sz w:val="24"/>
          <w:szCs w:val="24"/>
          <w:lang w:val="en-GB"/>
        </w:rPr>
        <w:t xml:space="preserve">. </w:t>
      </w:r>
      <w:r w:rsidRPr="00C421A6">
        <w:rPr>
          <w:rFonts w:ascii="Times New Roman" w:eastAsia="SimSun" w:hAnsi="Times New Roman" w:cs="Times New Roman"/>
          <w:b/>
          <w:bCs/>
          <w:sz w:val="24"/>
          <w:szCs w:val="24"/>
          <w:lang w:val="en-GB"/>
        </w:rPr>
        <w:t xml:space="preserve">Frequency </w:t>
      </w:r>
      <w:r w:rsidR="00C421A6" w:rsidRPr="00C421A6">
        <w:rPr>
          <w:rFonts w:ascii="Times New Roman" w:eastAsia="Segoe UI" w:hAnsi="Times New Roman" w:cs="Times New Roman"/>
          <w:b/>
          <w:bCs/>
          <w:color w:val="151515"/>
          <w:sz w:val="24"/>
          <w:szCs w:val="24"/>
          <w:shd w:val="clear" w:color="auto" w:fill="FFFFFF"/>
        </w:rPr>
        <w:t xml:space="preserve">of </w:t>
      </w:r>
      <w:r w:rsidR="00DD6F0B" w:rsidRPr="00C421A6">
        <w:rPr>
          <w:rFonts w:ascii="Times New Roman" w:eastAsia="Segoe UI" w:hAnsi="Times New Roman" w:cs="Times New Roman"/>
          <w:b/>
          <w:bCs/>
          <w:color w:val="151515"/>
          <w:sz w:val="24"/>
          <w:szCs w:val="24"/>
          <w:shd w:val="clear" w:color="auto" w:fill="FFFFFF"/>
        </w:rPr>
        <w:t>VCR</w:t>
      </w:r>
      <w:r w:rsidR="00DD6F0B">
        <w:rPr>
          <w:rFonts w:ascii="Times New Roman" w:eastAsia="Segoe UI" w:hAnsi="Times New Roman" w:cs="Times New Roman"/>
          <w:b/>
          <w:bCs/>
          <w:color w:val="151515"/>
          <w:sz w:val="24"/>
          <w:szCs w:val="24"/>
          <w:shd w:val="clear" w:color="auto" w:fill="FFFFFF"/>
        </w:rPr>
        <w:t xml:space="preserve"> (</w:t>
      </w:r>
      <w:r w:rsidRPr="00C421A6">
        <w:rPr>
          <w:rFonts w:ascii="Times New Roman" w:eastAsia="Segoe UI" w:hAnsi="Times New Roman" w:cs="Times New Roman"/>
          <w:b/>
          <w:bCs/>
          <w:color w:val="151515"/>
          <w:sz w:val="24"/>
          <w:szCs w:val="24"/>
          <w:shd w:val="clear" w:color="auto" w:fill="FFFFFF"/>
        </w:rPr>
        <w:t>own</w:t>
      </w:r>
      <w:r w:rsidRPr="00C421A6">
        <w:rPr>
          <w:rFonts w:ascii="Times New Roman" w:eastAsia="Segoe UI" w:hAnsi="Times New Roman" w:cs="Times New Roman"/>
          <w:b/>
          <w:bCs/>
          <w:color w:val="151515"/>
          <w:sz w:val="24"/>
          <w:szCs w:val="24"/>
          <w:shd w:val="clear" w:color="auto" w:fill="FFFFFF"/>
          <w:lang w:val="en-GB"/>
        </w:rPr>
        <w:t xml:space="preserve"> </w:t>
      </w:r>
      <w:proofErr w:type="spellStart"/>
      <w:proofErr w:type="gramStart"/>
      <w:r w:rsidRPr="00C421A6">
        <w:rPr>
          <w:rFonts w:ascii="Times New Roman" w:eastAsia="Segoe UI" w:hAnsi="Times New Roman" w:cs="Times New Roman"/>
          <w:b/>
          <w:bCs/>
          <w:color w:val="151515"/>
          <w:sz w:val="24"/>
          <w:szCs w:val="24"/>
          <w:shd w:val="clear" w:color="auto" w:fill="FFFFFF"/>
          <w:lang w:val="en-GB"/>
        </w:rPr>
        <w:t>vcr</w:t>
      </w:r>
      <w:proofErr w:type="spellEnd"/>
      <w:r w:rsidR="00C421A6">
        <w:rPr>
          <w:rFonts w:ascii="Times New Roman" w:eastAsia="Segoe UI" w:hAnsi="Times New Roman" w:cs="Times New Roman"/>
          <w:b/>
          <w:bCs/>
          <w:color w:val="151515"/>
          <w:sz w:val="24"/>
          <w:szCs w:val="24"/>
          <w:shd w:val="clear" w:color="auto" w:fill="FFFFFF"/>
        </w:rPr>
        <w:t>)</w:t>
      </w:r>
      <w:r w:rsidRPr="00C421A6">
        <w:rPr>
          <w:rFonts w:ascii="Times New Roman" w:eastAsia="Segoe UI" w:hAnsi="Times New Roman" w:cs="Times New Roman"/>
          <w:b/>
          <w:bCs/>
          <w:color w:val="151515"/>
          <w:sz w:val="24"/>
          <w:szCs w:val="24"/>
          <w:shd w:val="clear" w:color="auto" w:fill="FFFFFF"/>
        </w:rPr>
        <w:t>and</w:t>
      </w:r>
      <w:proofErr w:type="gramEnd"/>
      <w:r w:rsidRPr="00C421A6">
        <w:rPr>
          <w:rFonts w:ascii="Times New Roman" w:eastAsia="Segoe UI" w:hAnsi="Times New Roman" w:cs="Times New Roman"/>
          <w:b/>
          <w:bCs/>
          <w:color w:val="151515"/>
          <w:sz w:val="24"/>
          <w:szCs w:val="24"/>
          <w:shd w:val="clear" w:color="auto" w:fill="FFFFFF"/>
        </w:rPr>
        <w:t xml:space="preserve"> Owns </w:t>
      </w:r>
      <w:r w:rsidRPr="00C421A6">
        <w:rPr>
          <w:rFonts w:ascii="Times New Roman" w:eastAsia="Segoe UI" w:hAnsi="Times New Roman" w:cs="Times New Roman"/>
          <w:b/>
          <w:bCs/>
          <w:color w:val="151515"/>
          <w:sz w:val="24"/>
          <w:szCs w:val="24"/>
          <w:shd w:val="clear" w:color="auto" w:fill="FFFFFF"/>
          <w:lang w:val="en-GB"/>
        </w:rPr>
        <w:t>stereo CD player</w:t>
      </w:r>
      <w:r w:rsidRPr="00C421A6">
        <w:rPr>
          <w:rFonts w:ascii="Times New Roman" w:eastAsia="Segoe UI" w:hAnsi="Times New Roman" w:cs="Times New Roman"/>
          <w:b/>
          <w:bCs/>
          <w:color w:val="151515"/>
          <w:sz w:val="24"/>
          <w:szCs w:val="24"/>
          <w:shd w:val="clear" w:color="auto" w:fill="FFFFFF"/>
        </w:rPr>
        <w:t xml:space="preserve"> </w:t>
      </w:r>
      <w:r w:rsidR="00C421A6">
        <w:rPr>
          <w:rFonts w:ascii="Times New Roman" w:eastAsia="Segoe UI" w:hAnsi="Times New Roman" w:cs="Times New Roman"/>
          <w:b/>
          <w:bCs/>
          <w:color w:val="151515"/>
          <w:sz w:val="24"/>
          <w:szCs w:val="24"/>
          <w:shd w:val="clear" w:color="auto" w:fill="FFFFFF"/>
        </w:rPr>
        <w:t>(</w:t>
      </w:r>
      <w:r w:rsidRPr="00C421A6">
        <w:rPr>
          <w:rFonts w:ascii="Times New Roman" w:eastAsia="Segoe UI" w:hAnsi="Times New Roman" w:cs="Times New Roman"/>
          <w:b/>
          <w:bCs/>
          <w:color w:val="151515"/>
          <w:sz w:val="24"/>
          <w:szCs w:val="24"/>
          <w:shd w:val="clear" w:color="auto" w:fill="FFFFFF"/>
        </w:rPr>
        <w:t>own</w:t>
      </w:r>
      <w:r w:rsidRPr="00C421A6">
        <w:rPr>
          <w:rFonts w:ascii="Times New Roman" w:eastAsia="Segoe UI" w:hAnsi="Times New Roman" w:cs="Times New Roman"/>
          <w:b/>
          <w:bCs/>
          <w:color w:val="151515"/>
          <w:sz w:val="24"/>
          <w:szCs w:val="24"/>
          <w:shd w:val="clear" w:color="auto" w:fill="FFFFFF"/>
          <w:lang w:val="en-GB"/>
        </w:rPr>
        <w:t xml:space="preserve"> SCD</w:t>
      </w:r>
      <w:r w:rsidR="00C421A6">
        <w:rPr>
          <w:rFonts w:ascii="Times New Roman" w:eastAsia="Segoe UI" w:hAnsi="Times New Roman" w:cs="Times New Roman"/>
          <w:b/>
          <w:bCs/>
          <w:color w:val="151515"/>
          <w:sz w:val="24"/>
          <w:szCs w:val="24"/>
          <w:shd w:val="clear" w:color="auto" w:fill="FFFFFF"/>
        </w:rPr>
        <w:t>)</w:t>
      </w:r>
    </w:p>
    <w:p w14:paraId="4424F522" w14:textId="77777777" w:rsidR="00371098" w:rsidRDefault="00371098"/>
    <w:p w14:paraId="58DCEFBE" w14:textId="77777777" w:rsidR="00371098" w:rsidRDefault="00371098"/>
    <w:p w14:paraId="2EE6366C" w14:textId="77777777" w:rsidR="00371098" w:rsidRDefault="00371098"/>
    <w:p w14:paraId="50C2A460" w14:textId="77777777" w:rsidR="00371098" w:rsidRDefault="00000000">
      <w:r>
        <w:rPr>
          <w:noProof/>
        </w:rPr>
        <w:lastRenderedPageBreak/>
        <w:drawing>
          <wp:inline distT="0" distB="0" distL="114300" distR="114300" wp14:anchorId="367D2336" wp14:editId="79BC98DE">
            <wp:extent cx="5272405" cy="427736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4277360"/>
                    </a:xfrm>
                    <a:prstGeom prst="rect">
                      <a:avLst/>
                    </a:prstGeom>
                    <a:noFill/>
                    <a:ln>
                      <a:noFill/>
                    </a:ln>
                  </pic:spPr>
                </pic:pic>
              </a:graphicData>
            </a:graphic>
          </wp:inline>
        </w:drawing>
      </w:r>
    </w:p>
    <w:p w14:paraId="5628DA3B" w14:textId="77777777" w:rsidR="00371098" w:rsidRDefault="00371098"/>
    <w:p w14:paraId="7848DDBA" w14:textId="77777777" w:rsidR="00371098" w:rsidRDefault="00371098"/>
    <w:p w14:paraId="0431F589" w14:textId="77777777" w:rsidR="00E16F6C" w:rsidRPr="00E16F6C" w:rsidRDefault="00E16F6C" w:rsidP="00E16F6C">
      <w:pPr>
        <w:jc w:val="both"/>
        <w:rPr>
          <w:rFonts w:ascii="Times New Roman" w:eastAsia="SimSun" w:hAnsi="Times New Roman" w:cs="Times New Roman"/>
          <w:sz w:val="24"/>
          <w:szCs w:val="24"/>
          <w:lang w:val="en-GB"/>
        </w:rPr>
      </w:pPr>
      <w:r w:rsidRPr="00E16F6C">
        <w:rPr>
          <w:rFonts w:ascii="Times New Roman" w:eastAsia="SimSun" w:hAnsi="Times New Roman" w:cs="Times New Roman"/>
          <w:sz w:val="24"/>
          <w:szCs w:val="24"/>
          <w:lang w:val="en-GB"/>
        </w:rPr>
        <w:t>The frequency tables present a fascinating insight into ownership patterns among the surveyed population. Notably, the data unveils that 96% of individuals possess VCRs, indicating a high prevalence of this technology. Similarly, a substantial 97% of respondents are found to have stereo CD players, reflecting a widespread adoption of this audio equipment.</w:t>
      </w:r>
    </w:p>
    <w:p w14:paraId="6D3DB755" w14:textId="77777777" w:rsidR="00E16F6C" w:rsidRPr="00E16F6C" w:rsidRDefault="00E16F6C" w:rsidP="00E16F6C">
      <w:pPr>
        <w:jc w:val="both"/>
        <w:rPr>
          <w:rFonts w:ascii="Times New Roman" w:eastAsia="SimSun" w:hAnsi="Times New Roman" w:cs="Times New Roman"/>
          <w:sz w:val="24"/>
          <w:szCs w:val="24"/>
          <w:lang w:val="en-GB"/>
        </w:rPr>
      </w:pPr>
    </w:p>
    <w:p w14:paraId="0BA52B3D" w14:textId="77777777" w:rsidR="00E16F6C" w:rsidRPr="00E16F6C" w:rsidRDefault="00E16F6C" w:rsidP="00E16F6C">
      <w:pPr>
        <w:jc w:val="both"/>
        <w:rPr>
          <w:rFonts w:ascii="Times New Roman" w:eastAsia="SimSun" w:hAnsi="Times New Roman" w:cs="Times New Roman"/>
          <w:sz w:val="24"/>
          <w:szCs w:val="24"/>
          <w:lang w:val="en-GB"/>
        </w:rPr>
      </w:pPr>
      <w:r w:rsidRPr="00E16F6C">
        <w:rPr>
          <w:rFonts w:ascii="Times New Roman" w:eastAsia="SimSun" w:hAnsi="Times New Roman" w:cs="Times New Roman"/>
          <w:sz w:val="24"/>
          <w:szCs w:val="24"/>
          <w:lang w:val="en-GB"/>
        </w:rPr>
        <w:t>However, amidst these high ownership rates lies an intriguing revelation: a small percentage of individuals do not own VCRs or stereo CD players. Exploring further into this minority group could yield valuable insights into alternative consumer preferences, lifestyle choices, or perhaps economic considerations.</w:t>
      </w:r>
    </w:p>
    <w:p w14:paraId="24520C04" w14:textId="77777777" w:rsidR="00E16F6C" w:rsidRPr="00E16F6C" w:rsidRDefault="00E16F6C" w:rsidP="00E16F6C">
      <w:pPr>
        <w:jc w:val="both"/>
        <w:rPr>
          <w:rFonts w:ascii="Times New Roman" w:eastAsia="SimSun" w:hAnsi="Times New Roman" w:cs="Times New Roman"/>
          <w:sz w:val="24"/>
          <w:szCs w:val="24"/>
          <w:lang w:val="en-GB"/>
        </w:rPr>
      </w:pPr>
    </w:p>
    <w:p w14:paraId="5A788BEA" w14:textId="03332476" w:rsidR="00E16F6C" w:rsidRPr="00E16F6C" w:rsidRDefault="00E16F6C" w:rsidP="00E16F6C">
      <w:pPr>
        <w:jc w:val="both"/>
        <w:rPr>
          <w:rFonts w:ascii="Times New Roman" w:eastAsia="SimSun" w:hAnsi="Times New Roman" w:cs="Times New Roman"/>
          <w:sz w:val="24"/>
          <w:szCs w:val="24"/>
          <w:lang w:val="en-GB"/>
        </w:rPr>
      </w:pPr>
      <w:r w:rsidRPr="00E16F6C">
        <w:rPr>
          <w:rFonts w:ascii="Times New Roman" w:eastAsia="SimSun" w:hAnsi="Times New Roman" w:cs="Times New Roman"/>
          <w:sz w:val="24"/>
          <w:szCs w:val="24"/>
          <w:lang w:val="en-GB"/>
        </w:rPr>
        <w:t>To visually represent these findings, the data is artfully displayed in a frequency table complemented by a bar chart. This visual aid not only provides a clear snapshot of the ownership percentages but also offers a compelling illustration of the disparity between the majority and the minority groups. Delving deeper into the reasons behind the choices of this smaller cohort promises to unveil a rich tapestry of consumer behaviours and preferences, adding depth and context to the overall analysis.</w:t>
      </w:r>
    </w:p>
    <w:p w14:paraId="25B910ED" w14:textId="77777777" w:rsidR="00371098" w:rsidRDefault="00371098">
      <w:pPr>
        <w:rPr>
          <w:rFonts w:eastAsia="SimSun" w:cs="SimSun"/>
          <w:b/>
          <w:bCs/>
          <w:sz w:val="24"/>
          <w:szCs w:val="24"/>
          <w:lang w:val="en-GB"/>
        </w:rPr>
      </w:pPr>
    </w:p>
    <w:p w14:paraId="47CB2CF6" w14:textId="77777777" w:rsidR="00371098" w:rsidRDefault="00371098">
      <w:pPr>
        <w:rPr>
          <w:rFonts w:eastAsia="SimSun" w:cs="SimSun"/>
          <w:b/>
          <w:bCs/>
          <w:sz w:val="24"/>
          <w:szCs w:val="24"/>
          <w:lang w:val="en-GB"/>
        </w:rPr>
      </w:pPr>
    </w:p>
    <w:p w14:paraId="5888C38A" w14:textId="318D2527" w:rsidR="00371098" w:rsidRPr="00C421A6" w:rsidRDefault="00000000">
      <w:pPr>
        <w:rPr>
          <w:rFonts w:ascii="Times New Roman" w:eastAsia="SimSun" w:hAnsi="Times New Roman" w:cs="Times New Roman"/>
          <w:sz w:val="24"/>
          <w:szCs w:val="24"/>
          <w:lang w:val="en-GB"/>
        </w:rPr>
      </w:pPr>
      <w:r w:rsidRPr="00C421A6">
        <w:rPr>
          <w:rFonts w:ascii="Times New Roman" w:eastAsia="SimSun" w:hAnsi="Times New Roman" w:cs="Times New Roman"/>
          <w:b/>
          <w:bCs/>
          <w:sz w:val="24"/>
          <w:szCs w:val="24"/>
          <w:lang w:val="en-GB"/>
        </w:rPr>
        <w:t>3.0</w:t>
      </w:r>
      <w:r w:rsidR="00C421A6">
        <w:rPr>
          <w:rFonts w:ascii="Times New Roman" w:eastAsia="SimSun" w:hAnsi="Times New Roman" w:cs="Times New Roman"/>
          <w:b/>
          <w:bCs/>
          <w:sz w:val="24"/>
          <w:szCs w:val="24"/>
          <w:lang w:val="en-GB"/>
        </w:rPr>
        <w:t xml:space="preserve">. </w:t>
      </w:r>
      <w:r w:rsidRPr="00C421A6">
        <w:rPr>
          <w:rFonts w:ascii="Times New Roman" w:eastAsia="Segoe UI" w:hAnsi="Times New Roman" w:cs="Times New Roman"/>
          <w:b/>
          <w:bCs/>
          <w:color w:val="151515"/>
          <w:sz w:val="24"/>
          <w:szCs w:val="24"/>
          <w:shd w:val="clear" w:color="auto" w:fill="FFFFFF"/>
        </w:rPr>
        <w:t xml:space="preserve">Bar Chart </w:t>
      </w:r>
      <w:r w:rsidR="00C421A6" w:rsidRPr="00C421A6">
        <w:rPr>
          <w:rFonts w:ascii="Times New Roman" w:eastAsia="Segoe UI" w:hAnsi="Times New Roman" w:cs="Times New Roman"/>
          <w:b/>
          <w:bCs/>
          <w:color w:val="151515"/>
          <w:sz w:val="24"/>
          <w:szCs w:val="24"/>
          <w:shd w:val="clear" w:color="auto" w:fill="FFFFFF"/>
        </w:rPr>
        <w:t>of VCR (</w:t>
      </w:r>
      <w:r w:rsidRPr="00C421A6">
        <w:rPr>
          <w:rFonts w:ascii="Times New Roman" w:eastAsia="Segoe UI" w:hAnsi="Times New Roman" w:cs="Times New Roman"/>
          <w:b/>
          <w:bCs/>
          <w:color w:val="151515"/>
          <w:sz w:val="24"/>
          <w:szCs w:val="24"/>
          <w:shd w:val="clear" w:color="auto" w:fill="FFFFFF"/>
        </w:rPr>
        <w:t>own</w:t>
      </w:r>
      <w:r w:rsidRPr="00C421A6">
        <w:rPr>
          <w:rFonts w:ascii="Times New Roman" w:eastAsia="Segoe UI" w:hAnsi="Times New Roman" w:cs="Times New Roman"/>
          <w:b/>
          <w:bCs/>
          <w:color w:val="151515"/>
          <w:sz w:val="24"/>
          <w:szCs w:val="24"/>
          <w:shd w:val="clear" w:color="auto" w:fill="FFFFFF"/>
          <w:lang w:val="en-GB"/>
        </w:rPr>
        <w:t xml:space="preserve"> </w:t>
      </w:r>
      <w:proofErr w:type="spellStart"/>
      <w:r w:rsidRPr="00C421A6">
        <w:rPr>
          <w:rFonts w:ascii="Times New Roman" w:eastAsia="Segoe UI" w:hAnsi="Times New Roman" w:cs="Times New Roman"/>
          <w:b/>
          <w:bCs/>
          <w:color w:val="151515"/>
          <w:sz w:val="24"/>
          <w:szCs w:val="24"/>
          <w:shd w:val="clear" w:color="auto" w:fill="FFFFFF"/>
          <w:lang w:val="en-GB"/>
        </w:rPr>
        <w:t>vcr</w:t>
      </w:r>
      <w:proofErr w:type="spellEnd"/>
      <w:r w:rsidR="00C421A6" w:rsidRPr="00C421A6">
        <w:rPr>
          <w:rFonts w:ascii="Times New Roman" w:eastAsia="Segoe UI" w:hAnsi="Times New Roman" w:cs="Times New Roman"/>
          <w:b/>
          <w:bCs/>
          <w:color w:val="151515"/>
          <w:sz w:val="24"/>
          <w:szCs w:val="24"/>
          <w:shd w:val="clear" w:color="auto" w:fill="FFFFFF"/>
        </w:rPr>
        <w:t>)</w:t>
      </w:r>
      <w:r w:rsidRPr="00C421A6">
        <w:rPr>
          <w:rFonts w:ascii="Times New Roman" w:eastAsia="Segoe UI" w:hAnsi="Times New Roman" w:cs="Times New Roman"/>
          <w:b/>
          <w:bCs/>
          <w:color w:val="151515"/>
          <w:sz w:val="24"/>
          <w:szCs w:val="24"/>
          <w:shd w:val="clear" w:color="auto" w:fill="FFFFFF"/>
          <w:lang w:val="en-GB"/>
        </w:rPr>
        <w:t xml:space="preserve"> </w:t>
      </w:r>
      <w:r w:rsidRPr="00C421A6">
        <w:rPr>
          <w:rFonts w:ascii="Times New Roman" w:eastAsia="Segoe UI" w:hAnsi="Times New Roman" w:cs="Times New Roman"/>
          <w:b/>
          <w:bCs/>
          <w:color w:val="151515"/>
          <w:sz w:val="24"/>
          <w:szCs w:val="24"/>
          <w:shd w:val="clear" w:color="auto" w:fill="FFFFFF"/>
        </w:rPr>
        <w:t xml:space="preserve">and Owns </w:t>
      </w:r>
      <w:r w:rsidRPr="00C421A6">
        <w:rPr>
          <w:rFonts w:ascii="Times New Roman" w:eastAsia="Segoe UI" w:hAnsi="Times New Roman" w:cs="Times New Roman"/>
          <w:b/>
          <w:bCs/>
          <w:color w:val="151515"/>
          <w:sz w:val="24"/>
          <w:szCs w:val="24"/>
          <w:shd w:val="clear" w:color="auto" w:fill="FFFFFF"/>
          <w:lang w:val="en-GB"/>
        </w:rPr>
        <w:t>stereo CD player</w:t>
      </w:r>
      <w:r w:rsidRPr="00C421A6">
        <w:rPr>
          <w:rFonts w:ascii="Times New Roman" w:eastAsia="Segoe UI" w:hAnsi="Times New Roman" w:cs="Times New Roman"/>
          <w:b/>
          <w:bCs/>
          <w:color w:val="151515"/>
          <w:sz w:val="24"/>
          <w:szCs w:val="24"/>
          <w:shd w:val="clear" w:color="auto" w:fill="FFFFFF"/>
        </w:rPr>
        <w:t xml:space="preserve"> </w:t>
      </w:r>
      <w:r w:rsidR="00C421A6" w:rsidRPr="00C421A6">
        <w:rPr>
          <w:rFonts w:ascii="Times New Roman" w:eastAsia="Segoe UI" w:hAnsi="Times New Roman" w:cs="Times New Roman"/>
          <w:b/>
          <w:bCs/>
          <w:color w:val="151515"/>
          <w:sz w:val="24"/>
          <w:szCs w:val="24"/>
          <w:shd w:val="clear" w:color="auto" w:fill="FFFFFF"/>
        </w:rPr>
        <w:t>(</w:t>
      </w:r>
      <w:r w:rsidRPr="00C421A6">
        <w:rPr>
          <w:rFonts w:ascii="Times New Roman" w:eastAsia="Segoe UI" w:hAnsi="Times New Roman" w:cs="Times New Roman"/>
          <w:b/>
          <w:bCs/>
          <w:color w:val="151515"/>
          <w:sz w:val="24"/>
          <w:szCs w:val="24"/>
          <w:shd w:val="clear" w:color="auto" w:fill="FFFFFF"/>
        </w:rPr>
        <w:t>own</w:t>
      </w:r>
      <w:r w:rsidRPr="00C421A6">
        <w:rPr>
          <w:rFonts w:ascii="Times New Roman" w:eastAsia="Segoe UI" w:hAnsi="Times New Roman" w:cs="Times New Roman"/>
          <w:b/>
          <w:bCs/>
          <w:color w:val="151515"/>
          <w:sz w:val="24"/>
          <w:szCs w:val="24"/>
          <w:shd w:val="clear" w:color="auto" w:fill="FFFFFF"/>
          <w:lang w:val="en-GB"/>
        </w:rPr>
        <w:t xml:space="preserve"> CD</w:t>
      </w:r>
      <w:r w:rsidR="00C421A6" w:rsidRPr="00C421A6">
        <w:rPr>
          <w:rFonts w:ascii="Times New Roman" w:eastAsia="Segoe UI" w:hAnsi="Times New Roman" w:cs="Times New Roman"/>
          <w:b/>
          <w:bCs/>
          <w:color w:val="151515"/>
          <w:sz w:val="24"/>
          <w:szCs w:val="24"/>
          <w:shd w:val="clear" w:color="auto" w:fill="FFFFFF"/>
        </w:rPr>
        <w:t>)</w:t>
      </w:r>
      <w:r w:rsidRPr="00C421A6">
        <w:rPr>
          <w:rFonts w:ascii="Times New Roman" w:eastAsia="SimSun" w:hAnsi="Times New Roman" w:cs="Times New Roman"/>
          <w:sz w:val="24"/>
          <w:szCs w:val="24"/>
        </w:rPr>
        <w:t xml:space="preserve"> </w:t>
      </w:r>
    </w:p>
    <w:p w14:paraId="11C26DBC" w14:textId="77777777" w:rsidR="00371098" w:rsidRDefault="00371098">
      <w:pPr>
        <w:rPr>
          <w:rFonts w:ascii="Calibri" w:eastAsia="SimSun" w:hAnsi="Calibri" w:cs="Calibri"/>
          <w:sz w:val="24"/>
          <w:szCs w:val="24"/>
          <w:lang w:val="en-GB"/>
        </w:rPr>
      </w:pPr>
    </w:p>
    <w:p w14:paraId="6121A141" w14:textId="77777777" w:rsidR="00C421A6" w:rsidRDefault="00C421A6" w:rsidP="00C421A6">
      <w:pPr>
        <w:jc w:val="both"/>
        <w:rPr>
          <w:rFonts w:ascii="Times New Roman" w:hAnsi="Times New Roman" w:cs="Times New Roman"/>
          <w:sz w:val="24"/>
          <w:szCs w:val="24"/>
          <w:lang w:val="en-GB"/>
        </w:rPr>
      </w:pPr>
      <w:r w:rsidRPr="00C421A6">
        <w:rPr>
          <w:rFonts w:ascii="Times New Roman" w:hAnsi="Times New Roman" w:cs="Times New Roman"/>
          <w:sz w:val="24"/>
          <w:szCs w:val="24"/>
          <w:lang w:val="en-GB"/>
        </w:rPr>
        <w:t xml:space="preserve">The Bar charts accompanying the frequency tables further illuminate the overwhelming prevalence of VCRs and stereo CD players among the surveyed population. The visual </w:t>
      </w:r>
      <w:r w:rsidRPr="00C421A6">
        <w:rPr>
          <w:rFonts w:ascii="Times New Roman" w:hAnsi="Times New Roman" w:cs="Times New Roman"/>
          <w:sz w:val="24"/>
          <w:szCs w:val="24"/>
          <w:lang w:val="en-GB"/>
        </w:rPr>
        <w:lastRenderedPageBreak/>
        <w:t>representation vividly portrays a stark reality: nearly everyone in the study cohort possesses both a VCR and a stereo CD player.</w:t>
      </w:r>
    </w:p>
    <w:p w14:paraId="2D559F6C" w14:textId="77777777" w:rsidR="00C421A6" w:rsidRPr="00C421A6" w:rsidRDefault="00C421A6" w:rsidP="00C421A6">
      <w:pPr>
        <w:jc w:val="both"/>
        <w:rPr>
          <w:rFonts w:ascii="Times New Roman" w:hAnsi="Times New Roman" w:cs="Times New Roman"/>
          <w:sz w:val="24"/>
          <w:szCs w:val="24"/>
          <w:lang w:val="en-GB"/>
        </w:rPr>
      </w:pPr>
    </w:p>
    <w:p w14:paraId="62341859" w14:textId="5DCDCE0C" w:rsidR="00C421A6" w:rsidRDefault="00C421A6" w:rsidP="00C421A6">
      <w:pPr>
        <w:jc w:val="both"/>
        <w:rPr>
          <w:rFonts w:ascii="Times New Roman" w:hAnsi="Times New Roman" w:cs="Times New Roman"/>
          <w:sz w:val="24"/>
          <w:szCs w:val="24"/>
          <w:lang w:val="en-GB"/>
        </w:rPr>
      </w:pPr>
      <w:r w:rsidRPr="00C421A6">
        <w:rPr>
          <w:rFonts w:ascii="Times New Roman" w:hAnsi="Times New Roman" w:cs="Times New Roman"/>
          <w:sz w:val="24"/>
          <w:szCs w:val="24"/>
          <w:lang w:val="en-GB"/>
        </w:rPr>
        <w:t>The Bar charts succinctly illustrate the distribution of ownership, with towering bars representing most individuals who own these electronic devices. Conversely, the corresponding minuscule bars reveal the tiny fraction of respondents who do not own either a VCR or a stereo CD player.</w:t>
      </w:r>
    </w:p>
    <w:p w14:paraId="32C86F80" w14:textId="77777777" w:rsidR="00C421A6" w:rsidRPr="00C421A6" w:rsidRDefault="00C421A6" w:rsidP="00C421A6">
      <w:pPr>
        <w:jc w:val="both"/>
        <w:rPr>
          <w:rFonts w:ascii="Times New Roman" w:hAnsi="Times New Roman" w:cs="Times New Roman"/>
          <w:sz w:val="24"/>
          <w:szCs w:val="24"/>
          <w:lang w:val="en-GB"/>
        </w:rPr>
      </w:pPr>
    </w:p>
    <w:p w14:paraId="0396F117" w14:textId="77777777" w:rsidR="00C421A6" w:rsidRDefault="00C421A6" w:rsidP="00C421A6">
      <w:pPr>
        <w:jc w:val="both"/>
        <w:rPr>
          <w:rFonts w:ascii="Times New Roman" w:hAnsi="Times New Roman" w:cs="Times New Roman"/>
          <w:sz w:val="24"/>
          <w:szCs w:val="24"/>
          <w:lang w:val="en-GB"/>
        </w:rPr>
      </w:pPr>
      <w:r w:rsidRPr="00C421A6">
        <w:rPr>
          <w:rFonts w:ascii="Times New Roman" w:hAnsi="Times New Roman" w:cs="Times New Roman"/>
          <w:sz w:val="24"/>
          <w:szCs w:val="24"/>
          <w:lang w:val="en-GB"/>
        </w:rPr>
        <w:t>This graphical depiction reinforces the earlier findings, emphasizing the near-universal adoption of these technologies within the surveyed demographic. The visual impact of the Bar charts serves as a compelling testament to the widespread integration of VCRs and stereo CD players into the daily lives of the participants.</w:t>
      </w:r>
    </w:p>
    <w:p w14:paraId="5DCC71FB" w14:textId="77777777" w:rsidR="00C421A6" w:rsidRPr="00C421A6" w:rsidRDefault="00C421A6" w:rsidP="00C421A6">
      <w:pPr>
        <w:jc w:val="both"/>
        <w:rPr>
          <w:rFonts w:ascii="Times New Roman" w:hAnsi="Times New Roman" w:cs="Times New Roman"/>
          <w:sz w:val="24"/>
          <w:szCs w:val="24"/>
          <w:lang w:val="en-GB"/>
        </w:rPr>
      </w:pPr>
    </w:p>
    <w:p w14:paraId="50ABC244" w14:textId="77777777" w:rsidR="00C421A6" w:rsidRPr="00C421A6" w:rsidRDefault="00C421A6" w:rsidP="00C421A6">
      <w:pPr>
        <w:jc w:val="both"/>
        <w:rPr>
          <w:rFonts w:ascii="Times New Roman" w:hAnsi="Times New Roman" w:cs="Times New Roman"/>
          <w:sz w:val="24"/>
          <w:szCs w:val="24"/>
          <w:lang w:val="en-GB"/>
        </w:rPr>
      </w:pPr>
      <w:r w:rsidRPr="00C421A6">
        <w:rPr>
          <w:rFonts w:ascii="Times New Roman" w:hAnsi="Times New Roman" w:cs="Times New Roman"/>
          <w:sz w:val="24"/>
          <w:szCs w:val="24"/>
          <w:lang w:val="en-GB"/>
        </w:rPr>
        <w:t>Moreover, the stark contrast between the dominant bars and the negligible ones prompts further curiosity about the motivations and circumstances of the small minority without these devices. Exploring the reasons behind their lack of ownership could unveil valuable insights into evolving consumer preferences, technological trends, or socio-economic dynamics within the studied population.</w:t>
      </w:r>
    </w:p>
    <w:p w14:paraId="1A42BF16" w14:textId="77777777" w:rsidR="00C421A6" w:rsidRDefault="00C421A6">
      <w:pPr>
        <w:rPr>
          <w:rFonts w:ascii="Calibri" w:hAnsi="Calibri" w:cs="Calibri"/>
          <w:sz w:val="24"/>
          <w:szCs w:val="24"/>
        </w:rPr>
      </w:pPr>
    </w:p>
    <w:p w14:paraId="397DA160" w14:textId="77777777" w:rsidR="00C421A6" w:rsidRDefault="00C421A6">
      <w:pPr>
        <w:rPr>
          <w:rFonts w:ascii="Calibri" w:hAnsi="Calibri" w:cs="Calibri"/>
          <w:sz w:val="24"/>
          <w:szCs w:val="24"/>
        </w:rPr>
      </w:pPr>
    </w:p>
    <w:p w14:paraId="7EA9B35A" w14:textId="77777777" w:rsidR="00C421A6" w:rsidRDefault="00C421A6">
      <w:pPr>
        <w:rPr>
          <w:rFonts w:ascii="SimSun" w:eastAsia="SimSun" w:hAnsi="SimSun" w:cs="SimSun"/>
          <w:sz w:val="24"/>
          <w:szCs w:val="24"/>
          <w:lang w:val="en-GB"/>
        </w:rPr>
      </w:pPr>
    </w:p>
    <w:p w14:paraId="5C856FD6" w14:textId="77777777" w:rsidR="00371098" w:rsidRDefault="00371098">
      <w:pPr>
        <w:rPr>
          <w:rFonts w:ascii="SimSun" w:eastAsia="SimSun" w:hAnsi="SimSun" w:cs="SimSun"/>
          <w:sz w:val="24"/>
          <w:szCs w:val="24"/>
          <w:lang w:val="en-GB"/>
        </w:rPr>
      </w:pPr>
    </w:p>
    <w:p w14:paraId="06205690" w14:textId="77777777" w:rsidR="00371098" w:rsidRDefault="00000000">
      <w:pPr>
        <w:rPr>
          <w:rFonts w:ascii="SimSun" w:eastAsia="SimSun" w:hAnsi="SimSun" w:cs="SimSun"/>
          <w:sz w:val="24"/>
          <w:szCs w:val="24"/>
          <w:lang w:val="en-GB"/>
        </w:rPr>
      </w:pPr>
      <w:r>
        <w:rPr>
          <w:noProof/>
        </w:rPr>
        <w:drawing>
          <wp:inline distT="0" distB="0" distL="114300" distR="114300" wp14:anchorId="53417D13" wp14:editId="126828A2">
            <wp:extent cx="4328160" cy="3761740"/>
            <wp:effectExtent l="0" t="0" r="1524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28160" cy="3761740"/>
                    </a:xfrm>
                    <a:prstGeom prst="rect">
                      <a:avLst/>
                    </a:prstGeom>
                    <a:noFill/>
                    <a:ln>
                      <a:noFill/>
                    </a:ln>
                  </pic:spPr>
                </pic:pic>
              </a:graphicData>
            </a:graphic>
          </wp:inline>
        </w:drawing>
      </w:r>
    </w:p>
    <w:p w14:paraId="21A5826B" w14:textId="77777777" w:rsidR="00371098" w:rsidRDefault="00371098">
      <w:pPr>
        <w:rPr>
          <w:rFonts w:ascii="SimSun" w:eastAsia="SimSun" w:hAnsi="SimSun" w:cs="SimSun"/>
          <w:sz w:val="24"/>
          <w:szCs w:val="24"/>
          <w:lang w:val="en-GB"/>
        </w:rPr>
      </w:pPr>
    </w:p>
    <w:p w14:paraId="65890DDF" w14:textId="77777777" w:rsidR="00371098" w:rsidRDefault="00000000">
      <w:r>
        <w:rPr>
          <w:noProof/>
        </w:rPr>
        <w:lastRenderedPageBreak/>
        <w:drawing>
          <wp:inline distT="0" distB="0" distL="114300" distR="114300" wp14:anchorId="40EB8374" wp14:editId="261EC040">
            <wp:extent cx="4338320" cy="3736340"/>
            <wp:effectExtent l="0" t="0" r="508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38320" cy="3736340"/>
                    </a:xfrm>
                    <a:prstGeom prst="rect">
                      <a:avLst/>
                    </a:prstGeom>
                    <a:noFill/>
                    <a:ln>
                      <a:noFill/>
                    </a:ln>
                  </pic:spPr>
                </pic:pic>
              </a:graphicData>
            </a:graphic>
          </wp:inline>
        </w:drawing>
      </w:r>
    </w:p>
    <w:p w14:paraId="55E61D65" w14:textId="77777777" w:rsidR="00371098" w:rsidRDefault="00371098">
      <w:pPr>
        <w:rPr>
          <w:rFonts w:eastAsia="SimSun" w:cs="Sitka Heading"/>
          <w:b/>
          <w:bCs/>
          <w:sz w:val="24"/>
          <w:szCs w:val="24"/>
          <w:lang w:val="en-GB"/>
        </w:rPr>
      </w:pPr>
    </w:p>
    <w:p w14:paraId="78028F6B" w14:textId="77777777" w:rsidR="00371098" w:rsidRDefault="00371098">
      <w:pPr>
        <w:rPr>
          <w:rFonts w:eastAsia="SimSun" w:cs="Sitka Heading"/>
          <w:b/>
          <w:bCs/>
          <w:sz w:val="24"/>
          <w:szCs w:val="24"/>
          <w:lang w:val="en-GB"/>
        </w:rPr>
      </w:pPr>
    </w:p>
    <w:p w14:paraId="1544F303" w14:textId="7691B3E8" w:rsidR="00371098" w:rsidRPr="00F711C6" w:rsidRDefault="00000000">
      <w:pPr>
        <w:rPr>
          <w:rFonts w:ascii="Times New Roman" w:eastAsia="SimSun" w:hAnsi="Times New Roman" w:cs="Times New Roman"/>
          <w:b/>
          <w:bCs/>
          <w:sz w:val="24"/>
          <w:szCs w:val="24"/>
        </w:rPr>
      </w:pPr>
      <w:r w:rsidRPr="00F711C6">
        <w:rPr>
          <w:rFonts w:ascii="Times New Roman" w:eastAsia="SimSun" w:hAnsi="Times New Roman" w:cs="Times New Roman"/>
          <w:b/>
          <w:bCs/>
          <w:sz w:val="24"/>
          <w:szCs w:val="24"/>
          <w:lang w:val="en-GB"/>
        </w:rPr>
        <w:t>4.0</w:t>
      </w:r>
      <w:r w:rsidR="00F711C6">
        <w:rPr>
          <w:rFonts w:ascii="Times New Roman" w:eastAsia="SimSun" w:hAnsi="Times New Roman" w:cs="Times New Roman"/>
          <w:b/>
          <w:bCs/>
          <w:sz w:val="24"/>
          <w:szCs w:val="24"/>
          <w:lang w:val="en-GB"/>
        </w:rPr>
        <w:t xml:space="preserve">. </w:t>
      </w:r>
      <w:r w:rsidRPr="00F711C6">
        <w:rPr>
          <w:rFonts w:ascii="Times New Roman" w:eastAsia="SimSun" w:hAnsi="Times New Roman" w:cs="Times New Roman"/>
          <w:b/>
          <w:bCs/>
          <w:sz w:val="24"/>
          <w:szCs w:val="24"/>
        </w:rPr>
        <w:t>Summary Measures for Scale Variables</w:t>
      </w:r>
    </w:p>
    <w:p w14:paraId="112B6660" w14:textId="77777777" w:rsidR="00371098" w:rsidRDefault="00371098">
      <w:pPr>
        <w:rPr>
          <w:rFonts w:ascii="SimSun" w:eastAsia="SimSun" w:hAnsi="SimSun" w:cs="SimSun"/>
          <w:sz w:val="24"/>
          <w:szCs w:val="24"/>
        </w:rPr>
      </w:pPr>
    </w:p>
    <w:p w14:paraId="40BAAABF" w14:textId="77777777" w:rsidR="00F711C6" w:rsidRPr="00F711C6" w:rsidRDefault="00F711C6" w:rsidP="00F711C6">
      <w:pPr>
        <w:jc w:val="both"/>
        <w:rPr>
          <w:rFonts w:ascii="Times New Roman" w:eastAsia="MS PGothic" w:hAnsi="Times New Roman" w:cs="Times New Roman"/>
          <w:sz w:val="24"/>
          <w:szCs w:val="24"/>
          <w:lang w:val="en-GB"/>
        </w:rPr>
      </w:pPr>
      <w:r w:rsidRPr="00F711C6">
        <w:rPr>
          <w:rFonts w:ascii="Times New Roman" w:eastAsia="MS PGothic" w:hAnsi="Times New Roman" w:cs="Times New Roman"/>
          <w:sz w:val="24"/>
          <w:szCs w:val="24"/>
          <w:lang w:val="en-GB"/>
        </w:rPr>
        <w:t>To provide a comprehensive analysis of the dataset, measures of central tendency and dispersion are essential components. These statistical metrics offer valuable insights into the distribution and variability of the data regarding personal electronics ownership.</w:t>
      </w:r>
    </w:p>
    <w:p w14:paraId="54353A53" w14:textId="77777777" w:rsidR="00F711C6" w:rsidRDefault="00F711C6" w:rsidP="00F711C6">
      <w:pPr>
        <w:jc w:val="both"/>
        <w:rPr>
          <w:rFonts w:ascii="Times New Roman" w:eastAsia="MS PGothic" w:hAnsi="Times New Roman" w:cs="Times New Roman"/>
          <w:sz w:val="24"/>
          <w:szCs w:val="24"/>
          <w:lang w:val="en-GB"/>
        </w:rPr>
      </w:pPr>
      <w:r w:rsidRPr="00F711C6">
        <w:rPr>
          <w:rFonts w:ascii="Times New Roman" w:eastAsia="MS PGothic" w:hAnsi="Times New Roman" w:cs="Times New Roman"/>
          <w:sz w:val="24"/>
          <w:szCs w:val="24"/>
          <w:lang w:val="en-GB"/>
        </w:rPr>
        <w:t>Starting with measures of central tendency, the mean and median offer distinct perspectives on the average ownership within the surveyed population. The mean provides the numerical average of VCR and stereo CD player ownership, offering a balanced representation of the dataset's central value. Meanwhile, the median offers the middle point of the ownership data, disregarding extreme values and providing a robust measure of the dataset's central tendency.</w:t>
      </w:r>
    </w:p>
    <w:p w14:paraId="3E6991D4" w14:textId="77777777" w:rsidR="00F711C6" w:rsidRPr="00F711C6" w:rsidRDefault="00F711C6" w:rsidP="00F711C6">
      <w:pPr>
        <w:jc w:val="both"/>
        <w:rPr>
          <w:rFonts w:ascii="Times New Roman" w:eastAsia="MS PGothic" w:hAnsi="Times New Roman" w:cs="Times New Roman"/>
          <w:sz w:val="24"/>
          <w:szCs w:val="24"/>
          <w:lang w:val="en-GB"/>
        </w:rPr>
      </w:pPr>
    </w:p>
    <w:p w14:paraId="190B734C" w14:textId="77777777" w:rsidR="00F711C6" w:rsidRDefault="00F711C6" w:rsidP="00F711C6">
      <w:pPr>
        <w:jc w:val="both"/>
        <w:rPr>
          <w:rFonts w:ascii="Times New Roman" w:eastAsia="MS PGothic" w:hAnsi="Times New Roman" w:cs="Times New Roman"/>
          <w:sz w:val="24"/>
          <w:szCs w:val="24"/>
          <w:lang w:val="en-GB"/>
        </w:rPr>
      </w:pPr>
      <w:r w:rsidRPr="00F711C6">
        <w:rPr>
          <w:rFonts w:ascii="Times New Roman" w:eastAsia="MS PGothic" w:hAnsi="Times New Roman" w:cs="Times New Roman"/>
          <w:sz w:val="24"/>
          <w:szCs w:val="24"/>
          <w:lang w:val="en-GB"/>
        </w:rPr>
        <w:t>Supplementing these measures are the measures of dispersion, which illuminate the extent of variability or spread within the ownership data. The standard deviation quantifies the average amount by which each data point deviates from the mean, providing a clear understanding of the data's overall variability. Additionally, the minimum and maximum values pinpoint the range within which ownership values fluctuate, offering insights into the breadth of ownership experiences within the surveyed population.</w:t>
      </w:r>
    </w:p>
    <w:p w14:paraId="38C42DDF" w14:textId="77777777" w:rsidR="00F711C6" w:rsidRPr="00F711C6" w:rsidRDefault="00F711C6" w:rsidP="00F711C6">
      <w:pPr>
        <w:jc w:val="both"/>
        <w:rPr>
          <w:rFonts w:ascii="Times New Roman" w:eastAsia="MS PGothic" w:hAnsi="Times New Roman" w:cs="Times New Roman"/>
          <w:sz w:val="24"/>
          <w:szCs w:val="24"/>
          <w:lang w:val="en-GB"/>
        </w:rPr>
      </w:pPr>
    </w:p>
    <w:p w14:paraId="6752E8B9" w14:textId="1C37A249" w:rsidR="00F711C6" w:rsidRPr="00F711C6" w:rsidRDefault="00F711C6" w:rsidP="00F711C6">
      <w:pPr>
        <w:jc w:val="both"/>
        <w:rPr>
          <w:rFonts w:ascii="Times New Roman" w:eastAsia="MS PGothic" w:hAnsi="Times New Roman" w:cs="Times New Roman"/>
          <w:sz w:val="24"/>
          <w:szCs w:val="24"/>
          <w:lang w:val="en-GB"/>
        </w:rPr>
      </w:pPr>
      <w:r w:rsidRPr="00F711C6">
        <w:rPr>
          <w:rFonts w:ascii="Times New Roman" w:eastAsia="MS PGothic" w:hAnsi="Times New Roman" w:cs="Times New Roman"/>
          <w:sz w:val="24"/>
          <w:szCs w:val="24"/>
          <w:lang w:val="en-GB"/>
        </w:rPr>
        <w:t>By incorporating these statistical measures, the analysis gains depth and precision. It not only highlights the prevalent ownership of VCRs and stereo CD players but also provides nuanced insights into the range and distribution of ownership levels. Understanding both the central tendency and dispersion of ownership data enriches our comprehension of consumer behaviours and preferences within the context of personal electronics acquisition.</w:t>
      </w:r>
    </w:p>
    <w:p w14:paraId="1A98EB38" w14:textId="77777777" w:rsidR="00371098" w:rsidRDefault="00371098">
      <w:pPr>
        <w:rPr>
          <w:rFonts w:ascii="Calibri" w:eastAsia="MS PGothic" w:hAnsi="Calibri"/>
          <w:sz w:val="24"/>
          <w:szCs w:val="24"/>
          <w:lang w:val="en-GB"/>
        </w:rPr>
      </w:pPr>
    </w:p>
    <w:p w14:paraId="778493F7" w14:textId="77777777" w:rsidR="00371098" w:rsidRDefault="00371098">
      <w:pPr>
        <w:rPr>
          <w:rFonts w:ascii="SimSun" w:eastAsia="SimSun" w:hAnsi="SimSun" w:cs="SimSun"/>
          <w:sz w:val="24"/>
          <w:szCs w:val="24"/>
        </w:rPr>
      </w:pPr>
    </w:p>
    <w:p w14:paraId="342D55A7" w14:textId="77777777" w:rsidR="00371098" w:rsidRDefault="00371098">
      <w:pPr>
        <w:rPr>
          <w:sz w:val="24"/>
          <w:szCs w:val="24"/>
        </w:rPr>
      </w:pPr>
    </w:p>
    <w:tbl>
      <w:tblPr>
        <w:tblW w:w="2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7"/>
        <w:gridCol w:w="951"/>
        <w:gridCol w:w="1091"/>
      </w:tblGrid>
      <w:tr w:rsidR="00371098" w14:paraId="72A65C72" w14:textId="77777777">
        <w:trPr>
          <w:cantSplit/>
        </w:trPr>
        <w:tc>
          <w:tcPr>
            <w:tcW w:w="2787" w:type="dxa"/>
            <w:gridSpan w:val="3"/>
            <w:tcBorders>
              <w:top w:val="nil"/>
              <w:left w:val="nil"/>
              <w:bottom w:val="nil"/>
              <w:right w:val="nil"/>
              <w:tl2br w:val="nil"/>
              <w:tr2bl w:val="nil"/>
            </w:tcBorders>
            <w:shd w:val="clear" w:color="auto" w:fill="FFFFFF"/>
          </w:tcPr>
          <w:p w14:paraId="4A3BC94D" w14:textId="77777777" w:rsidR="00371098" w:rsidRDefault="00000000">
            <w:pPr>
              <w:spacing w:line="320" w:lineRule="atLeast"/>
              <w:ind w:left="60" w:right="60"/>
              <w:jc w:val="center"/>
              <w:rPr>
                <w:rFonts w:ascii="Arial" w:hAnsi="Arial"/>
                <w:sz w:val="18"/>
                <w:szCs w:val="24"/>
              </w:rPr>
            </w:pPr>
            <w:r>
              <w:rPr>
                <w:rFonts w:ascii="Arial" w:hAnsi="Arial"/>
                <w:b/>
                <w:sz w:val="18"/>
                <w:szCs w:val="24"/>
              </w:rPr>
              <w:t>Statistics</w:t>
            </w:r>
          </w:p>
        </w:tc>
      </w:tr>
      <w:tr w:rsidR="00371098" w14:paraId="65AC284D" w14:textId="77777777">
        <w:trPr>
          <w:cantSplit/>
        </w:trPr>
        <w:tc>
          <w:tcPr>
            <w:tcW w:w="2787" w:type="dxa"/>
            <w:gridSpan w:val="3"/>
            <w:tcBorders>
              <w:top w:val="nil"/>
              <w:left w:val="nil"/>
              <w:bottom w:val="nil"/>
              <w:right w:val="nil"/>
              <w:tl2br w:val="nil"/>
              <w:tr2bl w:val="nil"/>
            </w:tcBorders>
            <w:shd w:val="clear" w:color="auto" w:fill="FFFFFF"/>
            <w:vAlign w:val="bottom"/>
          </w:tcPr>
          <w:p w14:paraId="73357A92" w14:textId="77777777" w:rsidR="00371098" w:rsidRDefault="00000000">
            <w:pPr>
              <w:spacing w:line="320" w:lineRule="atLeast"/>
              <w:ind w:left="60" w:right="60"/>
              <w:rPr>
                <w:rFonts w:ascii="Arial" w:hAnsi="Arial"/>
                <w:sz w:val="18"/>
                <w:szCs w:val="24"/>
              </w:rPr>
            </w:pPr>
            <w:r>
              <w:rPr>
                <w:rFonts w:ascii="Arial" w:hAnsi="Arial"/>
                <w:sz w:val="18"/>
                <w:szCs w:val="24"/>
              </w:rPr>
              <w:t>Household income in thousands</w:t>
            </w:r>
          </w:p>
        </w:tc>
      </w:tr>
      <w:tr w:rsidR="00371098" w14:paraId="7CD992A4" w14:textId="77777777">
        <w:trPr>
          <w:cantSplit/>
        </w:trPr>
        <w:tc>
          <w:tcPr>
            <w:tcW w:w="747" w:type="dxa"/>
            <w:vMerge w:val="restart"/>
            <w:tcBorders>
              <w:top w:val="single" w:sz="16" w:space="0" w:color="000000"/>
              <w:left w:val="single" w:sz="16" w:space="0" w:color="000000"/>
              <w:bottom w:val="nil"/>
              <w:right w:val="nil"/>
              <w:tl2br w:val="nil"/>
              <w:tr2bl w:val="nil"/>
            </w:tcBorders>
            <w:shd w:val="clear" w:color="auto" w:fill="FFFFFF"/>
            <w:vAlign w:val="center"/>
          </w:tcPr>
          <w:p w14:paraId="1892F628" w14:textId="77777777" w:rsidR="00371098" w:rsidRDefault="00000000">
            <w:pPr>
              <w:spacing w:line="320" w:lineRule="atLeast"/>
              <w:ind w:left="60" w:right="60"/>
              <w:rPr>
                <w:rFonts w:ascii="Arial" w:hAnsi="Arial"/>
                <w:sz w:val="18"/>
                <w:szCs w:val="24"/>
              </w:rPr>
            </w:pPr>
            <w:r>
              <w:rPr>
                <w:rFonts w:ascii="Arial" w:hAnsi="Arial"/>
                <w:sz w:val="18"/>
                <w:szCs w:val="24"/>
              </w:rPr>
              <w:t>N</w:t>
            </w:r>
          </w:p>
        </w:tc>
        <w:tc>
          <w:tcPr>
            <w:tcW w:w="950" w:type="dxa"/>
            <w:tcBorders>
              <w:top w:val="single" w:sz="16" w:space="0" w:color="000000"/>
              <w:left w:val="nil"/>
              <w:bottom w:val="nil"/>
              <w:right w:val="single" w:sz="16" w:space="0" w:color="000000"/>
              <w:tl2br w:val="nil"/>
              <w:tr2bl w:val="nil"/>
            </w:tcBorders>
            <w:shd w:val="clear" w:color="auto" w:fill="FFFFFF"/>
            <w:vAlign w:val="center"/>
          </w:tcPr>
          <w:p w14:paraId="58FA0A63" w14:textId="77777777" w:rsidR="00371098" w:rsidRDefault="00000000">
            <w:pPr>
              <w:spacing w:line="320" w:lineRule="atLeast"/>
              <w:ind w:left="60" w:right="60"/>
              <w:rPr>
                <w:rFonts w:ascii="Arial" w:hAnsi="Arial"/>
                <w:sz w:val="18"/>
                <w:szCs w:val="24"/>
              </w:rPr>
            </w:pPr>
            <w:r>
              <w:rPr>
                <w:rFonts w:ascii="Arial" w:hAnsi="Arial"/>
                <w:sz w:val="18"/>
                <w:szCs w:val="24"/>
              </w:rPr>
              <w:t>Valid</w:t>
            </w:r>
          </w:p>
        </w:tc>
        <w:tc>
          <w:tcPr>
            <w:tcW w:w="1090" w:type="dxa"/>
            <w:tcBorders>
              <w:top w:val="single" w:sz="16" w:space="0" w:color="000000"/>
              <w:left w:val="single" w:sz="16" w:space="0" w:color="000000"/>
              <w:bottom w:val="nil"/>
              <w:right w:val="single" w:sz="16" w:space="0" w:color="000000"/>
              <w:tl2br w:val="nil"/>
              <w:tr2bl w:val="nil"/>
            </w:tcBorders>
            <w:shd w:val="clear" w:color="auto" w:fill="FFFFFF"/>
            <w:vAlign w:val="center"/>
          </w:tcPr>
          <w:p w14:paraId="0B6D581A" w14:textId="77777777" w:rsidR="00371098" w:rsidRDefault="00000000">
            <w:pPr>
              <w:spacing w:line="320" w:lineRule="atLeast"/>
              <w:ind w:left="60" w:right="60"/>
              <w:jc w:val="right"/>
              <w:rPr>
                <w:rFonts w:ascii="Arial" w:hAnsi="Arial"/>
                <w:sz w:val="18"/>
                <w:szCs w:val="24"/>
              </w:rPr>
            </w:pPr>
            <w:r>
              <w:rPr>
                <w:rFonts w:ascii="Arial" w:hAnsi="Arial"/>
                <w:sz w:val="18"/>
                <w:szCs w:val="24"/>
              </w:rPr>
              <w:t>6400</w:t>
            </w:r>
          </w:p>
        </w:tc>
      </w:tr>
      <w:tr w:rsidR="00371098" w14:paraId="517C56BF" w14:textId="77777777">
        <w:trPr>
          <w:cantSplit/>
        </w:trPr>
        <w:tc>
          <w:tcPr>
            <w:tcW w:w="747" w:type="dxa"/>
            <w:vMerge/>
            <w:tcBorders>
              <w:top w:val="single" w:sz="16" w:space="0" w:color="000000"/>
              <w:left w:val="single" w:sz="16" w:space="0" w:color="000000"/>
              <w:bottom w:val="nil"/>
              <w:right w:val="nil"/>
              <w:tl2br w:val="nil"/>
              <w:tr2bl w:val="nil"/>
            </w:tcBorders>
            <w:shd w:val="clear" w:color="auto" w:fill="FFFFFF"/>
            <w:vAlign w:val="center"/>
          </w:tcPr>
          <w:p w14:paraId="41DB9C6F" w14:textId="77777777" w:rsidR="00371098" w:rsidRDefault="00371098">
            <w:pPr>
              <w:rPr>
                <w:rFonts w:ascii="Arial" w:hAnsi="Arial"/>
                <w:sz w:val="18"/>
                <w:szCs w:val="24"/>
              </w:rPr>
            </w:pPr>
          </w:p>
        </w:tc>
        <w:tc>
          <w:tcPr>
            <w:tcW w:w="950" w:type="dxa"/>
            <w:tcBorders>
              <w:top w:val="nil"/>
              <w:left w:val="nil"/>
              <w:bottom w:val="nil"/>
              <w:right w:val="single" w:sz="16" w:space="0" w:color="000000"/>
              <w:tl2br w:val="nil"/>
              <w:tr2bl w:val="nil"/>
            </w:tcBorders>
            <w:shd w:val="clear" w:color="auto" w:fill="FFFFFF"/>
            <w:vAlign w:val="center"/>
          </w:tcPr>
          <w:p w14:paraId="210D15BC" w14:textId="77777777" w:rsidR="00371098" w:rsidRDefault="00000000">
            <w:pPr>
              <w:spacing w:line="320" w:lineRule="atLeast"/>
              <w:ind w:left="60" w:right="60"/>
              <w:rPr>
                <w:rFonts w:ascii="Arial" w:hAnsi="Arial"/>
                <w:sz w:val="18"/>
                <w:szCs w:val="24"/>
              </w:rPr>
            </w:pPr>
            <w:r>
              <w:rPr>
                <w:rFonts w:ascii="Arial" w:hAnsi="Arial"/>
                <w:sz w:val="18"/>
                <w:szCs w:val="24"/>
              </w:rPr>
              <w:t>Missing</w:t>
            </w:r>
          </w:p>
        </w:tc>
        <w:tc>
          <w:tcPr>
            <w:tcW w:w="1090" w:type="dxa"/>
            <w:tcBorders>
              <w:top w:val="nil"/>
              <w:left w:val="single" w:sz="16" w:space="0" w:color="000000"/>
              <w:bottom w:val="nil"/>
              <w:right w:val="single" w:sz="16" w:space="0" w:color="000000"/>
              <w:tl2br w:val="nil"/>
              <w:tr2bl w:val="nil"/>
            </w:tcBorders>
            <w:shd w:val="clear" w:color="auto" w:fill="FFFFFF"/>
            <w:vAlign w:val="center"/>
          </w:tcPr>
          <w:p w14:paraId="0E0784BF" w14:textId="77777777" w:rsidR="00371098" w:rsidRDefault="00000000">
            <w:pPr>
              <w:spacing w:line="320" w:lineRule="atLeast"/>
              <w:ind w:left="60" w:right="60"/>
              <w:jc w:val="right"/>
              <w:rPr>
                <w:rFonts w:ascii="Arial" w:hAnsi="Arial"/>
                <w:sz w:val="18"/>
                <w:szCs w:val="24"/>
              </w:rPr>
            </w:pPr>
            <w:r>
              <w:rPr>
                <w:rFonts w:ascii="Arial" w:hAnsi="Arial"/>
                <w:sz w:val="18"/>
                <w:szCs w:val="24"/>
              </w:rPr>
              <w:t>0</w:t>
            </w:r>
          </w:p>
        </w:tc>
      </w:tr>
      <w:tr w:rsidR="00371098" w14:paraId="0450B0E8" w14:textId="77777777">
        <w:trPr>
          <w:cantSplit/>
        </w:trPr>
        <w:tc>
          <w:tcPr>
            <w:tcW w:w="1697" w:type="dxa"/>
            <w:gridSpan w:val="2"/>
            <w:tcBorders>
              <w:top w:val="nil"/>
              <w:left w:val="single" w:sz="16" w:space="0" w:color="000000"/>
              <w:bottom w:val="nil"/>
              <w:right w:val="nil"/>
              <w:tl2br w:val="nil"/>
              <w:tr2bl w:val="nil"/>
            </w:tcBorders>
            <w:shd w:val="clear" w:color="auto" w:fill="FFFFFF"/>
            <w:vAlign w:val="center"/>
          </w:tcPr>
          <w:p w14:paraId="2A18C28B" w14:textId="77777777" w:rsidR="00371098" w:rsidRDefault="00000000">
            <w:pPr>
              <w:spacing w:line="320" w:lineRule="atLeast"/>
              <w:ind w:left="60" w:right="60"/>
              <w:rPr>
                <w:rFonts w:ascii="Arial" w:hAnsi="Arial"/>
                <w:sz w:val="18"/>
                <w:szCs w:val="24"/>
              </w:rPr>
            </w:pPr>
            <w:r>
              <w:rPr>
                <w:rFonts w:ascii="Arial" w:hAnsi="Arial"/>
                <w:sz w:val="18"/>
                <w:szCs w:val="24"/>
              </w:rPr>
              <w:t>Mean</w:t>
            </w:r>
          </w:p>
        </w:tc>
        <w:tc>
          <w:tcPr>
            <w:tcW w:w="1090" w:type="dxa"/>
            <w:tcBorders>
              <w:top w:val="nil"/>
              <w:left w:val="single" w:sz="16" w:space="0" w:color="000000"/>
              <w:bottom w:val="nil"/>
              <w:right w:val="single" w:sz="16" w:space="0" w:color="000000"/>
              <w:tl2br w:val="nil"/>
              <w:tr2bl w:val="nil"/>
            </w:tcBorders>
            <w:shd w:val="clear" w:color="auto" w:fill="FFFFFF"/>
            <w:vAlign w:val="center"/>
          </w:tcPr>
          <w:p w14:paraId="12EC0A38" w14:textId="77777777" w:rsidR="00371098" w:rsidRDefault="00000000">
            <w:pPr>
              <w:spacing w:line="320" w:lineRule="atLeast"/>
              <w:ind w:left="60" w:right="60"/>
              <w:jc w:val="right"/>
              <w:rPr>
                <w:rFonts w:ascii="Arial" w:hAnsi="Arial"/>
                <w:sz w:val="18"/>
                <w:szCs w:val="24"/>
              </w:rPr>
            </w:pPr>
            <w:r>
              <w:rPr>
                <w:rFonts w:ascii="Arial" w:hAnsi="Arial"/>
                <w:sz w:val="18"/>
                <w:szCs w:val="24"/>
              </w:rPr>
              <w:t>69.4748</w:t>
            </w:r>
          </w:p>
        </w:tc>
      </w:tr>
      <w:tr w:rsidR="00371098" w14:paraId="7489A492" w14:textId="77777777">
        <w:trPr>
          <w:cantSplit/>
        </w:trPr>
        <w:tc>
          <w:tcPr>
            <w:tcW w:w="1697" w:type="dxa"/>
            <w:gridSpan w:val="2"/>
            <w:tcBorders>
              <w:top w:val="nil"/>
              <w:left w:val="single" w:sz="16" w:space="0" w:color="000000"/>
              <w:bottom w:val="nil"/>
              <w:right w:val="nil"/>
              <w:tl2br w:val="nil"/>
              <w:tr2bl w:val="nil"/>
            </w:tcBorders>
            <w:shd w:val="clear" w:color="auto" w:fill="FFFFFF"/>
            <w:vAlign w:val="center"/>
          </w:tcPr>
          <w:p w14:paraId="269F6E5A" w14:textId="77777777" w:rsidR="00371098" w:rsidRDefault="00000000">
            <w:pPr>
              <w:spacing w:line="320" w:lineRule="atLeast"/>
              <w:ind w:left="60" w:right="60"/>
              <w:rPr>
                <w:rFonts w:ascii="Arial" w:hAnsi="Arial"/>
                <w:sz w:val="18"/>
                <w:szCs w:val="24"/>
              </w:rPr>
            </w:pPr>
            <w:r>
              <w:rPr>
                <w:rFonts w:ascii="Arial" w:hAnsi="Arial"/>
                <w:sz w:val="18"/>
                <w:szCs w:val="24"/>
              </w:rPr>
              <w:t>Median</w:t>
            </w:r>
          </w:p>
        </w:tc>
        <w:tc>
          <w:tcPr>
            <w:tcW w:w="1090" w:type="dxa"/>
            <w:tcBorders>
              <w:top w:val="nil"/>
              <w:left w:val="single" w:sz="16" w:space="0" w:color="000000"/>
              <w:bottom w:val="nil"/>
              <w:right w:val="single" w:sz="16" w:space="0" w:color="000000"/>
              <w:tl2br w:val="nil"/>
              <w:tr2bl w:val="nil"/>
            </w:tcBorders>
            <w:shd w:val="clear" w:color="auto" w:fill="FFFFFF"/>
            <w:vAlign w:val="center"/>
          </w:tcPr>
          <w:p w14:paraId="4D5943C4" w14:textId="77777777" w:rsidR="00371098" w:rsidRDefault="00000000">
            <w:pPr>
              <w:spacing w:line="320" w:lineRule="atLeast"/>
              <w:ind w:left="60" w:right="60"/>
              <w:jc w:val="right"/>
              <w:rPr>
                <w:rFonts w:ascii="Arial" w:hAnsi="Arial"/>
                <w:sz w:val="18"/>
                <w:szCs w:val="24"/>
              </w:rPr>
            </w:pPr>
            <w:r>
              <w:rPr>
                <w:rFonts w:ascii="Arial" w:hAnsi="Arial"/>
                <w:sz w:val="18"/>
                <w:szCs w:val="24"/>
              </w:rPr>
              <w:t>45.0000</w:t>
            </w:r>
          </w:p>
        </w:tc>
      </w:tr>
      <w:tr w:rsidR="00371098" w14:paraId="5A247B5F" w14:textId="77777777">
        <w:trPr>
          <w:cantSplit/>
        </w:trPr>
        <w:tc>
          <w:tcPr>
            <w:tcW w:w="1697" w:type="dxa"/>
            <w:gridSpan w:val="2"/>
            <w:tcBorders>
              <w:top w:val="nil"/>
              <w:left w:val="single" w:sz="16" w:space="0" w:color="000000"/>
              <w:bottom w:val="nil"/>
              <w:right w:val="nil"/>
              <w:tl2br w:val="nil"/>
              <w:tr2bl w:val="nil"/>
            </w:tcBorders>
            <w:shd w:val="clear" w:color="auto" w:fill="FFFFFF"/>
            <w:vAlign w:val="center"/>
          </w:tcPr>
          <w:p w14:paraId="5F7B643B" w14:textId="77777777" w:rsidR="00371098" w:rsidRDefault="00000000">
            <w:pPr>
              <w:spacing w:line="320" w:lineRule="atLeast"/>
              <w:ind w:left="60" w:right="60"/>
              <w:rPr>
                <w:rFonts w:ascii="Arial" w:hAnsi="Arial"/>
                <w:sz w:val="18"/>
                <w:szCs w:val="24"/>
              </w:rPr>
            </w:pPr>
            <w:r>
              <w:rPr>
                <w:rFonts w:ascii="Arial" w:hAnsi="Arial"/>
                <w:sz w:val="18"/>
                <w:szCs w:val="24"/>
              </w:rPr>
              <w:t>Std. Deviation</w:t>
            </w:r>
          </w:p>
        </w:tc>
        <w:tc>
          <w:tcPr>
            <w:tcW w:w="1090" w:type="dxa"/>
            <w:tcBorders>
              <w:top w:val="nil"/>
              <w:left w:val="single" w:sz="16" w:space="0" w:color="000000"/>
              <w:bottom w:val="nil"/>
              <w:right w:val="single" w:sz="16" w:space="0" w:color="000000"/>
              <w:tl2br w:val="nil"/>
              <w:tr2bl w:val="nil"/>
            </w:tcBorders>
            <w:shd w:val="clear" w:color="auto" w:fill="FFFFFF"/>
            <w:vAlign w:val="center"/>
          </w:tcPr>
          <w:p w14:paraId="1BC11A8E" w14:textId="77777777" w:rsidR="00371098" w:rsidRDefault="00000000">
            <w:pPr>
              <w:spacing w:line="320" w:lineRule="atLeast"/>
              <w:ind w:left="60" w:right="60"/>
              <w:jc w:val="right"/>
              <w:rPr>
                <w:rFonts w:ascii="Arial" w:hAnsi="Arial"/>
                <w:sz w:val="18"/>
                <w:szCs w:val="24"/>
              </w:rPr>
            </w:pPr>
            <w:r>
              <w:rPr>
                <w:rFonts w:ascii="Arial" w:hAnsi="Arial"/>
                <w:sz w:val="18"/>
                <w:szCs w:val="24"/>
              </w:rPr>
              <w:t>78.71856</w:t>
            </w:r>
          </w:p>
        </w:tc>
      </w:tr>
      <w:tr w:rsidR="00371098" w14:paraId="2837B3A5" w14:textId="77777777">
        <w:trPr>
          <w:cantSplit/>
        </w:trPr>
        <w:tc>
          <w:tcPr>
            <w:tcW w:w="1697" w:type="dxa"/>
            <w:gridSpan w:val="2"/>
            <w:tcBorders>
              <w:top w:val="nil"/>
              <w:left w:val="single" w:sz="16" w:space="0" w:color="000000"/>
              <w:bottom w:val="nil"/>
              <w:right w:val="nil"/>
              <w:tl2br w:val="nil"/>
              <w:tr2bl w:val="nil"/>
            </w:tcBorders>
            <w:shd w:val="clear" w:color="auto" w:fill="FFFFFF"/>
            <w:vAlign w:val="center"/>
          </w:tcPr>
          <w:p w14:paraId="449DD7C8" w14:textId="77777777" w:rsidR="00371098" w:rsidRDefault="00000000">
            <w:pPr>
              <w:spacing w:line="320" w:lineRule="atLeast"/>
              <w:ind w:left="60" w:right="60"/>
              <w:rPr>
                <w:rFonts w:ascii="Arial" w:hAnsi="Arial"/>
                <w:sz w:val="18"/>
                <w:szCs w:val="24"/>
              </w:rPr>
            </w:pPr>
            <w:r>
              <w:rPr>
                <w:rFonts w:ascii="Arial" w:hAnsi="Arial"/>
                <w:sz w:val="18"/>
                <w:szCs w:val="24"/>
              </w:rPr>
              <w:t>Minimum</w:t>
            </w:r>
          </w:p>
        </w:tc>
        <w:tc>
          <w:tcPr>
            <w:tcW w:w="1090" w:type="dxa"/>
            <w:tcBorders>
              <w:top w:val="nil"/>
              <w:left w:val="single" w:sz="16" w:space="0" w:color="000000"/>
              <w:bottom w:val="nil"/>
              <w:right w:val="single" w:sz="16" w:space="0" w:color="000000"/>
              <w:tl2br w:val="nil"/>
              <w:tr2bl w:val="nil"/>
            </w:tcBorders>
            <w:shd w:val="clear" w:color="auto" w:fill="FFFFFF"/>
            <w:vAlign w:val="center"/>
          </w:tcPr>
          <w:p w14:paraId="766BFF8D" w14:textId="77777777" w:rsidR="00371098" w:rsidRDefault="00000000">
            <w:pPr>
              <w:spacing w:line="320" w:lineRule="atLeast"/>
              <w:ind w:left="60" w:right="60"/>
              <w:jc w:val="right"/>
              <w:rPr>
                <w:rFonts w:ascii="Arial" w:hAnsi="Arial"/>
                <w:sz w:val="18"/>
                <w:szCs w:val="24"/>
              </w:rPr>
            </w:pPr>
            <w:r>
              <w:rPr>
                <w:rFonts w:ascii="Arial" w:hAnsi="Arial"/>
                <w:sz w:val="18"/>
                <w:szCs w:val="24"/>
              </w:rPr>
              <w:t>9.00</w:t>
            </w:r>
          </w:p>
        </w:tc>
      </w:tr>
      <w:tr w:rsidR="00371098" w14:paraId="3E10765A" w14:textId="77777777">
        <w:trPr>
          <w:cantSplit/>
        </w:trPr>
        <w:tc>
          <w:tcPr>
            <w:tcW w:w="1697" w:type="dxa"/>
            <w:gridSpan w:val="2"/>
            <w:tcBorders>
              <w:top w:val="nil"/>
              <w:left w:val="single" w:sz="16" w:space="0" w:color="000000"/>
              <w:bottom w:val="single" w:sz="16" w:space="0" w:color="000000"/>
              <w:right w:val="nil"/>
              <w:tl2br w:val="nil"/>
              <w:tr2bl w:val="nil"/>
            </w:tcBorders>
            <w:shd w:val="clear" w:color="auto" w:fill="FFFFFF"/>
            <w:vAlign w:val="center"/>
          </w:tcPr>
          <w:p w14:paraId="7BF3784F" w14:textId="77777777" w:rsidR="00371098" w:rsidRDefault="00000000">
            <w:pPr>
              <w:spacing w:line="320" w:lineRule="atLeast"/>
              <w:ind w:left="60" w:right="60"/>
              <w:rPr>
                <w:rFonts w:ascii="Arial" w:hAnsi="Arial"/>
                <w:sz w:val="18"/>
                <w:szCs w:val="24"/>
              </w:rPr>
            </w:pPr>
            <w:r>
              <w:rPr>
                <w:rFonts w:ascii="Arial" w:hAnsi="Arial"/>
                <w:sz w:val="18"/>
                <w:szCs w:val="24"/>
              </w:rPr>
              <w:t>Maximum</w:t>
            </w:r>
          </w:p>
        </w:tc>
        <w:tc>
          <w:tcPr>
            <w:tcW w:w="1090" w:type="dxa"/>
            <w:tcBorders>
              <w:top w:val="nil"/>
              <w:left w:val="single" w:sz="16" w:space="0" w:color="000000"/>
              <w:bottom w:val="single" w:sz="16" w:space="0" w:color="000000"/>
              <w:right w:val="single" w:sz="16" w:space="0" w:color="000000"/>
              <w:tl2br w:val="nil"/>
              <w:tr2bl w:val="nil"/>
            </w:tcBorders>
            <w:shd w:val="clear" w:color="auto" w:fill="FFFFFF"/>
            <w:vAlign w:val="center"/>
          </w:tcPr>
          <w:p w14:paraId="465B77D1" w14:textId="77777777" w:rsidR="00371098" w:rsidRDefault="00000000">
            <w:pPr>
              <w:spacing w:line="320" w:lineRule="atLeast"/>
              <w:ind w:left="60" w:right="60"/>
              <w:jc w:val="right"/>
              <w:rPr>
                <w:rFonts w:ascii="Arial" w:hAnsi="Arial"/>
                <w:sz w:val="18"/>
                <w:szCs w:val="24"/>
              </w:rPr>
            </w:pPr>
            <w:r>
              <w:rPr>
                <w:rFonts w:ascii="Arial" w:hAnsi="Arial"/>
                <w:sz w:val="18"/>
                <w:szCs w:val="24"/>
              </w:rPr>
              <w:t>1116.00</w:t>
            </w:r>
          </w:p>
        </w:tc>
      </w:tr>
    </w:tbl>
    <w:p w14:paraId="189923FA" w14:textId="77777777" w:rsidR="00371098" w:rsidRDefault="00371098">
      <w:pPr>
        <w:spacing w:line="400" w:lineRule="atLeast"/>
        <w:rPr>
          <w:rFonts w:ascii="Times New Roman" w:eastAsia="Times New Roman" w:hAnsi="Times New Roman"/>
          <w:sz w:val="24"/>
          <w:szCs w:val="24"/>
        </w:rPr>
      </w:pPr>
    </w:p>
    <w:p w14:paraId="4605FA06" w14:textId="77777777" w:rsidR="00371098" w:rsidRDefault="00371098">
      <w:pPr>
        <w:jc w:val="both"/>
        <w:rPr>
          <w:rFonts w:ascii="Calibri" w:hAnsi="Calibri"/>
          <w:sz w:val="24"/>
          <w:szCs w:val="24"/>
          <w:lang w:val="en-GB"/>
        </w:rPr>
      </w:pPr>
    </w:p>
    <w:p w14:paraId="21B9A340" w14:textId="77777777" w:rsidR="00F711C6" w:rsidRDefault="00F711C6" w:rsidP="00F711C6">
      <w:pPr>
        <w:jc w:val="both"/>
        <w:rPr>
          <w:rFonts w:ascii="Calibri" w:hAnsi="Calibri"/>
          <w:sz w:val="24"/>
          <w:szCs w:val="24"/>
          <w:lang w:val="en-GB"/>
        </w:rPr>
      </w:pPr>
      <w:r w:rsidRPr="00F711C6">
        <w:rPr>
          <w:rFonts w:ascii="Calibri" w:hAnsi="Calibri"/>
          <w:sz w:val="24"/>
          <w:szCs w:val="24"/>
          <w:lang w:val="en-GB"/>
        </w:rPr>
        <w:t>The statistical table presented above offers a detailed snapshot of key metrics, including the mean, median, standard deviation, minimum, and maximum values. Notably, the mean stands out prominently, showcasing a significant difference of approximately 24,475 units compared to the median. This discrepancy in central measures indicates a notable skewness in the distribution towards the higher end of the ownership values.</w:t>
      </w:r>
    </w:p>
    <w:p w14:paraId="29AF3B0F" w14:textId="77777777" w:rsidR="00F711C6" w:rsidRPr="00F711C6" w:rsidRDefault="00F711C6" w:rsidP="00F711C6">
      <w:pPr>
        <w:jc w:val="both"/>
        <w:rPr>
          <w:rFonts w:ascii="Calibri" w:hAnsi="Calibri"/>
          <w:sz w:val="24"/>
          <w:szCs w:val="24"/>
          <w:lang w:val="en-GB"/>
        </w:rPr>
      </w:pPr>
    </w:p>
    <w:p w14:paraId="69B880E6" w14:textId="59E31178" w:rsidR="00F711C6" w:rsidRDefault="00F711C6" w:rsidP="00F711C6">
      <w:pPr>
        <w:jc w:val="both"/>
        <w:rPr>
          <w:rFonts w:ascii="Calibri" w:hAnsi="Calibri"/>
          <w:sz w:val="24"/>
          <w:szCs w:val="24"/>
          <w:lang w:val="en-GB"/>
        </w:rPr>
      </w:pPr>
      <w:r w:rsidRPr="00F711C6">
        <w:rPr>
          <w:rFonts w:ascii="Calibri" w:hAnsi="Calibri"/>
          <w:sz w:val="24"/>
          <w:szCs w:val="24"/>
          <w:lang w:val="en-GB"/>
        </w:rPr>
        <w:t>The mean's substantial divergence from the median suggests a positive skewness, indicating that a minority of respondents report much higher ownership values, pulling the mean upwards. In contrast, most respondents likely fall within a lower ownership range, as indicated by the median.</w:t>
      </w:r>
    </w:p>
    <w:p w14:paraId="4A999A20" w14:textId="77777777" w:rsidR="00F711C6" w:rsidRPr="00F711C6" w:rsidRDefault="00F711C6" w:rsidP="00F711C6">
      <w:pPr>
        <w:jc w:val="both"/>
        <w:rPr>
          <w:rFonts w:ascii="Calibri" w:hAnsi="Calibri"/>
          <w:sz w:val="24"/>
          <w:szCs w:val="24"/>
          <w:lang w:val="en-GB"/>
        </w:rPr>
      </w:pPr>
    </w:p>
    <w:p w14:paraId="6635EFAA" w14:textId="71B54C1C" w:rsidR="00F711C6" w:rsidRDefault="00F711C6" w:rsidP="00F711C6">
      <w:pPr>
        <w:jc w:val="both"/>
        <w:rPr>
          <w:rFonts w:ascii="Calibri" w:hAnsi="Calibri"/>
          <w:sz w:val="24"/>
          <w:szCs w:val="24"/>
          <w:lang w:val="en-GB"/>
        </w:rPr>
      </w:pPr>
      <w:r w:rsidRPr="00F711C6">
        <w:rPr>
          <w:rFonts w:ascii="Calibri" w:hAnsi="Calibri"/>
          <w:sz w:val="24"/>
          <w:szCs w:val="24"/>
          <w:lang w:val="en-GB"/>
        </w:rPr>
        <w:t>This positive skewness implies that the dataset's distribution is not symmetrical or normally distributed. Rather, it reveals a pattern where most individuals possess lower-than-average ownership values, while a smaller yet significant group reports much higher ownership levels.</w:t>
      </w:r>
    </w:p>
    <w:p w14:paraId="6DF5860A" w14:textId="77777777" w:rsidR="00F711C6" w:rsidRPr="00F711C6" w:rsidRDefault="00F711C6" w:rsidP="00F711C6">
      <w:pPr>
        <w:jc w:val="both"/>
        <w:rPr>
          <w:rFonts w:ascii="Calibri" w:hAnsi="Calibri"/>
          <w:sz w:val="24"/>
          <w:szCs w:val="24"/>
          <w:lang w:val="en-GB"/>
        </w:rPr>
      </w:pPr>
    </w:p>
    <w:p w14:paraId="3E382D1E" w14:textId="77777777" w:rsidR="00F711C6" w:rsidRDefault="00F711C6" w:rsidP="00F711C6">
      <w:pPr>
        <w:jc w:val="both"/>
        <w:rPr>
          <w:rFonts w:ascii="Calibri" w:hAnsi="Calibri"/>
          <w:sz w:val="24"/>
          <w:szCs w:val="24"/>
          <w:lang w:val="en-GB"/>
        </w:rPr>
      </w:pPr>
      <w:r w:rsidRPr="00F711C6">
        <w:rPr>
          <w:rFonts w:ascii="Calibri" w:hAnsi="Calibri"/>
          <w:sz w:val="24"/>
          <w:szCs w:val="24"/>
          <w:lang w:val="en-GB"/>
        </w:rPr>
        <w:t>To visually confirm this observation, a histogram would serve as an excellent tool. By plotting the ownership values on a histogram, the distribution's shape would become more apparent. A positively skewed distribution would exhibit a longer tail towards the higher values, reinforcing the statistical inference drawn from the mean and median values.</w:t>
      </w:r>
    </w:p>
    <w:p w14:paraId="26B23971" w14:textId="77777777" w:rsidR="00F711C6" w:rsidRPr="00F711C6" w:rsidRDefault="00F711C6" w:rsidP="00F711C6">
      <w:pPr>
        <w:jc w:val="both"/>
        <w:rPr>
          <w:rFonts w:ascii="Calibri" w:hAnsi="Calibri"/>
          <w:sz w:val="24"/>
          <w:szCs w:val="24"/>
          <w:lang w:val="en-GB"/>
        </w:rPr>
      </w:pPr>
    </w:p>
    <w:p w14:paraId="0C27A202" w14:textId="77777777" w:rsidR="00F711C6" w:rsidRPr="00F711C6" w:rsidRDefault="00F711C6" w:rsidP="00F711C6">
      <w:pPr>
        <w:jc w:val="both"/>
        <w:rPr>
          <w:rFonts w:ascii="Calibri" w:hAnsi="Calibri"/>
          <w:sz w:val="24"/>
          <w:szCs w:val="24"/>
          <w:lang w:val="en-GB"/>
        </w:rPr>
      </w:pPr>
      <w:r w:rsidRPr="00F711C6">
        <w:rPr>
          <w:rFonts w:ascii="Calibri" w:hAnsi="Calibri"/>
          <w:sz w:val="24"/>
          <w:szCs w:val="24"/>
          <w:lang w:val="en-GB"/>
        </w:rPr>
        <w:t>Thus, the combination of statistical analysis and visual representation through a histogram provides a comprehensive understanding of the dataset's distribution. This approach allows for a nuanced exploration of the ownership patterns, highlighting the existence of a minority with significantly higher ownership levels amidst a predominantly lower ownership majority.</w:t>
      </w:r>
    </w:p>
    <w:p w14:paraId="62400D76" w14:textId="77777777" w:rsidR="00371098" w:rsidRDefault="00371098">
      <w:pPr>
        <w:jc w:val="both"/>
        <w:rPr>
          <w:rFonts w:ascii="Calibri" w:hAnsi="Calibri"/>
          <w:sz w:val="24"/>
          <w:szCs w:val="24"/>
          <w:lang w:val="en-GB"/>
        </w:rPr>
      </w:pPr>
    </w:p>
    <w:p w14:paraId="4E516512" w14:textId="77777777" w:rsidR="00371098" w:rsidRDefault="00371098">
      <w:pPr>
        <w:jc w:val="both"/>
        <w:rPr>
          <w:rFonts w:ascii="Calibri" w:hAnsi="Calibri"/>
          <w:sz w:val="24"/>
          <w:szCs w:val="24"/>
          <w:lang w:val="en-GB"/>
        </w:rPr>
      </w:pPr>
    </w:p>
    <w:p w14:paraId="239F5163" w14:textId="77777777" w:rsidR="00371098" w:rsidRPr="00F711C6" w:rsidRDefault="00000000">
      <w:pPr>
        <w:ind w:left="720" w:firstLine="720"/>
        <w:jc w:val="both"/>
        <w:rPr>
          <w:rFonts w:ascii="Times New Roman" w:hAnsi="Times New Roman" w:cs="Times New Roman"/>
          <w:b/>
          <w:bCs/>
          <w:sz w:val="24"/>
          <w:szCs w:val="24"/>
          <w:lang w:val="en-GB"/>
        </w:rPr>
      </w:pPr>
      <w:r w:rsidRPr="00F711C6">
        <w:rPr>
          <w:rFonts w:ascii="Times New Roman" w:hAnsi="Times New Roman" w:cs="Times New Roman"/>
          <w:b/>
          <w:bCs/>
          <w:sz w:val="24"/>
          <w:szCs w:val="24"/>
          <w:lang w:val="en-GB"/>
        </w:rPr>
        <w:t>Right Skewed Distribution(positive)</w:t>
      </w:r>
    </w:p>
    <w:p w14:paraId="32020162" w14:textId="77777777" w:rsidR="00371098" w:rsidRDefault="00371098">
      <w:pPr>
        <w:jc w:val="both"/>
        <w:rPr>
          <w:rFonts w:ascii="Calibri" w:hAnsi="Calibri"/>
          <w:sz w:val="24"/>
          <w:szCs w:val="24"/>
          <w:lang w:val="en-GB"/>
        </w:rPr>
      </w:pPr>
    </w:p>
    <w:p w14:paraId="11FBCBD8" w14:textId="77777777" w:rsidR="00371098" w:rsidRDefault="00000000">
      <w:r>
        <w:rPr>
          <w:noProof/>
        </w:rPr>
        <w:lastRenderedPageBreak/>
        <w:drawing>
          <wp:inline distT="0" distB="0" distL="114300" distR="114300" wp14:anchorId="04C21931" wp14:editId="254D1A49">
            <wp:extent cx="4014470" cy="30753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014470" cy="3075305"/>
                    </a:xfrm>
                    <a:prstGeom prst="rect">
                      <a:avLst/>
                    </a:prstGeom>
                    <a:noFill/>
                    <a:ln>
                      <a:noFill/>
                    </a:ln>
                  </pic:spPr>
                </pic:pic>
              </a:graphicData>
            </a:graphic>
          </wp:inline>
        </w:drawing>
      </w:r>
    </w:p>
    <w:p w14:paraId="03C7DCA3" w14:textId="77777777" w:rsidR="00371098" w:rsidRDefault="00371098"/>
    <w:p w14:paraId="2568116A" w14:textId="77777777" w:rsidR="00371098" w:rsidRDefault="00371098">
      <w:pPr>
        <w:rPr>
          <w:rFonts w:ascii="SimSun" w:eastAsia="SimSun" w:hAnsi="SimSun" w:cs="SimSun"/>
          <w:sz w:val="24"/>
          <w:szCs w:val="24"/>
          <w:lang w:val="en-GB"/>
        </w:rPr>
      </w:pPr>
    </w:p>
    <w:p w14:paraId="2470CBD4" w14:textId="77777777" w:rsidR="00371098" w:rsidRPr="00F711C6" w:rsidRDefault="00371098">
      <w:pPr>
        <w:rPr>
          <w:rFonts w:ascii="Times New Roman" w:hAnsi="Times New Roman" w:cs="Times New Roman"/>
          <w:b/>
          <w:bCs/>
          <w:sz w:val="24"/>
          <w:szCs w:val="24"/>
          <w:lang w:val="en-GB"/>
        </w:rPr>
      </w:pPr>
    </w:p>
    <w:p w14:paraId="16483FF6" w14:textId="36702BA3" w:rsidR="00371098" w:rsidRDefault="00000000">
      <w:pPr>
        <w:rPr>
          <w:rFonts w:ascii="Calibri" w:hAnsi="Calibri" w:cs="Calibri"/>
          <w:b/>
          <w:bCs/>
          <w:sz w:val="24"/>
          <w:szCs w:val="24"/>
        </w:rPr>
      </w:pPr>
      <w:r w:rsidRPr="00F711C6">
        <w:rPr>
          <w:rFonts w:ascii="Times New Roman" w:hAnsi="Times New Roman" w:cs="Times New Roman"/>
          <w:b/>
          <w:bCs/>
          <w:sz w:val="24"/>
          <w:szCs w:val="24"/>
          <w:lang w:val="en-GB"/>
        </w:rPr>
        <w:t>5.0</w:t>
      </w:r>
      <w:r w:rsidR="00F711C6">
        <w:rPr>
          <w:rFonts w:ascii="Times New Roman" w:hAnsi="Times New Roman" w:cs="Times New Roman"/>
          <w:b/>
          <w:bCs/>
          <w:sz w:val="24"/>
          <w:szCs w:val="24"/>
          <w:lang w:val="en-GB"/>
        </w:rPr>
        <w:t xml:space="preserve">. </w:t>
      </w:r>
      <w:r w:rsidRPr="00F711C6">
        <w:rPr>
          <w:rFonts w:ascii="Times New Roman" w:hAnsi="Times New Roman" w:cs="Times New Roman"/>
          <w:b/>
          <w:bCs/>
          <w:sz w:val="24"/>
          <w:szCs w:val="24"/>
        </w:rPr>
        <w:t>Histograms for Scale Variables</w:t>
      </w:r>
    </w:p>
    <w:p w14:paraId="6CCA7FD4" w14:textId="77777777" w:rsidR="00371098" w:rsidRDefault="00371098">
      <w:pPr>
        <w:rPr>
          <w:rFonts w:ascii="Calibri" w:hAnsi="Calibri" w:cs="Calibri"/>
          <w:b/>
          <w:bCs/>
          <w:sz w:val="24"/>
          <w:szCs w:val="24"/>
        </w:rPr>
      </w:pPr>
    </w:p>
    <w:p w14:paraId="2F96E273" w14:textId="77777777" w:rsidR="00371098" w:rsidRDefault="00371098">
      <w:pPr>
        <w:rPr>
          <w:rFonts w:ascii="Calibri" w:hAnsi="Calibri" w:cs="Calibri"/>
          <w:b/>
          <w:bCs/>
          <w:sz w:val="24"/>
          <w:szCs w:val="24"/>
        </w:rPr>
      </w:pPr>
    </w:p>
    <w:p w14:paraId="4A7A2820" w14:textId="77777777" w:rsidR="00371098" w:rsidRDefault="00000000">
      <w:r>
        <w:rPr>
          <w:noProof/>
        </w:rPr>
        <w:drawing>
          <wp:inline distT="0" distB="0" distL="114300" distR="114300" wp14:anchorId="19F61FD0" wp14:editId="122F385F">
            <wp:extent cx="4815840" cy="352361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815840" cy="3523615"/>
                    </a:xfrm>
                    <a:prstGeom prst="rect">
                      <a:avLst/>
                    </a:prstGeom>
                    <a:noFill/>
                    <a:ln>
                      <a:noFill/>
                    </a:ln>
                  </pic:spPr>
                </pic:pic>
              </a:graphicData>
            </a:graphic>
          </wp:inline>
        </w:drawing>
      </w:r>
    </w:p>
    <w:p w14:paraId="4B621F01" w14:textId="77777777" w:rsidR="00371098" w:rsidRDefault="00371098"/>
    <w:p w14:paraId="0E4C38DE" w14:textId="77777777" w:rsidR="00371098" w:rsidRDefault="00371098" w:rsidP="00F711C6">
      <w:pPr>
        <w:jc w:val="both"/>
        <w:rPr>
          <w:rFonts w:ascii="Calibri" w:hAnsi="Calibri" w:cs="Calibri"/>
          <w:sz w:val="24"/>
          <w:szCs w:val="24"/>
        </w:rPr>
      </w:pPr>
    </w:p>
    <w:p w14:paraId="2A887648" w14:textId="024CDC28" w:rsidR="00F711C6" w:rsidRDefault="00F711C6" w:rsidP="00F711C6">
      <w:pPr>
        <w:jc w:val="both"/>
        <w:rPr>
          <w:rFonts w:ascii="Times New Roman" w:hAnsi="Times New Roman" w:cs="Times New Roman"/>
          <w:sz w:val="24"/>
          <w:szCs w:val="24"/>
          <w:lang w:val="en-GB"/>
        </w:rPr>
      </w:pPr>
      <w:r w:rsidRPr="00F711C6">
        <w:rPr>
          <w:rFonts w:ascii="Times New Roman" w:hAnsi="Times New Roman" w:cs="Times New Roman"/>
          <w:sz w:val="24"/>
          <w:szCs w:val="24"/>
          <w:lang w:val="en-GB"/>
        </w:rPr>
        <w:t xml:space="preserve">The histogram generated from the dataset vividly illustrates the distribution of personal electronics ownership values among the surveyed population. A striking observation is the clustering of most cases towards the lower end of the scale, with a notable concentration falling below the 100,000 marks. This concentration of values paints a </w:t>
      </w:r>
      <w:r w:rsidRPr="00F711C6">
        <w:rPr>
          <w:rFonts w:ascii="Times New Roman" w:hAnsi="Times New Roman" w:cs="Times New Roman"/>
          <w:sz w:val="24"/>
          <w:szCs w:val="24"/>
          <w:lang w:val="en-GB"/>
        </w:rPr>
        <w:lastRenderedPageBreak/>
        <w:t>clear picture of the predominant ownership patterns within the dataset, indicating a prevalent trend towards lower ownership levels among the respondents.</w:t>
      </w:r>
    </w:p>
    <w:p w14:paraId="7919A1A6" w14:textId="77777777" w:rsidR="00F711C6" w:rsidRPr="00F711C6" w:rsidRDefault="00F711C6" w:rsidP="00F711C6">
      <w:pPr>
        <w:jc w:val="both"/>
        <w:rPr>
          <w:rFonts w:ascii="Times New Roman" w:hAnsi="Times New Roman" w:cs="Times New Roman"/>
          <w:sz w:val="24"/>
          <w:szCs w:val="24"/>
          <w:lang w:val="en-GB"/>
        </w:rPr>
      </w:pPr>
    </w:p>
    <w:p w14:paraId="502E6333" w14:textId="343F3715" w:rsidR="00F711C6" w:rsidRDefault="00F711C6" w:rsidP="00F711C6">
      <w:pPr>
        <w:jc w:val="both"/>
        <w:rPr>
          <w:rFonts w:ascii="Times New Roman" w:hAnsi="Times New Roman" w:cs="Times New Roman"/>
          <w:sz w:val="24"/>
          <w:szCs w:val="24"/>
          <w:lang w:val="en-GB"/>
        </w:rPr>
      </w:pPr>
      <w:r w:rsidRPr="00F711C6">
        <w:rPr>
          <w:rFonts w:ascii="Times New Roman" w:hAnsi="Times New Roman" w:cs="Times New Roman"/>
          <w:sz w:val="24"/>
          <w:szCs w:val="24"/>
          <w:lang w:val="en-GB"/>
        </w:rPr>
        <w:t>However, the histogram also reveals a handful of outlier cases at the higher end of the scale, particularly in the 600,000 range and beyond. These extreme values, while few, exert a significant influence on the mean due to their substantial magnitude. The mean, being sensitive to outliers, is notably pulled upwards by these extreme cases, reflecting the impact of these high values on the dataset's average ownership.</w:t>
      </w:r>
    </w:p>
    <w:p w14:paraId="081FD520" w14:textId="77777777" w:rsidR="00F711C6" w:rsidRPr="00F711C6" w:rsidRDefault="00F711C6" w:rsidP="00F711C6">
      <w:pPr>
        <w:jc w:val="both"/>
        <w:rPr>
          <w:rFonts w:ascii="Times New Roman" w:hAnsi="Times New Roman" w:cs="Times New Roman"/>
          <w:sz w:val="24"/>
          <w:szCs w:val="24"/>
          <w:lang w:val="en-GB"/>
        </w:rPr>
      </w:pPr>
    </w:p>
    <w:p w14:paraId="1EA07A77" w14:textId="5659CD8C" w:rsidR="00F711C6" w:rsidRDefault="00F711C6" w:rsidP="00F711C6">
      <w:pPr>
        <w:jc w:val="both"/>
        <w:rPr>
          <w:rFonts w:ascii="Times New Roman" w:hAnsi="Times New Roman" w:cs="Times New Roman"/>
          <w:sz w:val="24"/>
          <w:szCs w:val="24"/>
          <w:lang w:val="en-GB"/>
        </w:rPr>
      </w:pPr>
      <w:r w:rsidRPr="00F711C6">
        <w:rPr>
          <w:rFonts w:ascii="Times New Roman" w:hAnsi="Times New Roman" w:cs="Times New Roman"/>
          <w:sz w:val="24"/>
          <w:szCs w:val="24"/>
          <w:lang w:val="en-GB"/>
        </w:rPr>
        <w:t>In contrast, the median remains largely unaffected by these outliers. As a robust measure of central tendency, the median disregards extreme values and instead focuses on the middle point of the dataset. In this example, the median serves as a more reliable indicator of the central ownership value. Its resilience against the influence of outliers makes it a stable measure, accurately representing the typical ownership experience within the surveyed population.</w:t>
      </w:r>
    </w:p>
    <w:p w14:paraId="07FE1B1E" w14:textId="77777777" w:rsidR="00F711C6" w:rsidRPr="00F711C6" w:rsidRDefault="00F711C6" w:rsidP="00F711C6">
      <w:pPr>
        <w:jc w:val="both"/>
        <w:rPr>
          <w:rFonts w:ascii="Times New Roman" w:hAnsi="Times New Roman" w:cs="Times New Roman"/>
          <w:sz w:val="24"/>
          <w:szCs w:val="24"/>
          <w:lang w:val="en-GB"/>
        </w:rPr>
      </w:pPr>
    </w:p>
    <w:p w14:paraId="0D86E008" w14:textId="77777777" w:rsidR="00F711C6" w:rsidRPr="00F711C6" w:rsidRDefault="00F711C6" w:rsidP="00F711C6">
      <w:pPr>
        <w:jc w:val="both"/>
        <w:rPr>
          <w:rFonts w:ascii="Times New Roman" w:hAnsi="Times New Roman" w:cs="Times New Roman"/>
          <w:sz w:val="24"/>
          <w:szCs w:val="24"/>
          <w:lang w:val="en-GB"/>
        </w:rPr>
      </w:pPr>
      <w:r w:rsidRPr="00F711C6">
        <w:rPr>
          <w:rFonts w:ascii="Times New Roman" w:hAnsi="Times New Roman" w:cs="Times New Roman"/>
          <w:sz w:val="24"/>
          <w:szCs w:val="24"/>
          <w:lang w:val="en-GB"/>
        </w:rPr>
        <w:t>This discrepancy between the mean and median underscores the importance of considering the dataset's distribution when selecting an appropriate measure of central tendency. In cases where outliers significantly skew the mean, the median emerges as a more suitable choice for capturing the typical or central ownership value. Thus, the histogram not only visually confirms the positive skewness of the distribution but also highlights the practical implications for selecting the most appropriate measure of central tendency within this dataset.</w:t>
      </w:r>
    </w:p>
    <w:p w14:paraId="13299FCB" w14:textId="77777777" w:rsidR="00371098" w:rsidRDefault="00371098">
      <w:pPr>
        <w:rPr>
          <w:rFonts w:ascii="Calibri" w:hAnsi="Calibri"/>
          <w:sz w:val="24"/>
          <w:szCs w:val="24"/>
        </w:rPr>
      </w:pPr>
    </w:p>
    <w:p w14:paraId="3EE3EFA2" w14:textId="15609A89" w:rsidR="00371098" w:rsidRPr="00F711C6" w:rsidRDefault="00000000">
      <w:pPr>
        <w:rPr>
          <w:rFonts w:ascii="Times New Roman" w:eastAsia="SimSun" w:hAnsi="Times New Roman" w:cs="Times New Roman"/>
          <w:b/>
          <w:bCs/>
          <w:sz w:val="24"/>
          <w:szCs w:val="24"/>
          <w:lang w:val="en-GB"/>
        </w:rPr>
      </w:pPr>
      <w:r w:rsidRPr="00F711C6">
        <w:rPr>
          <w:rFonts w:ascii="Times New Roman" w:eastAsia="SimSun" w:hAnsi="Times New Roman" w:cs="Times New Roman"/>
          <w:b/>
          <w:bCs/>
          <w:sz w:val="24"/>
          <w:szCs w:val="24"/>
          <w:lang w:val="en-GB"/>
        </w:rPr>
        <w:t>6.0</w:t>
      </w:r>
      <w:r w:rsidR="00F711C6">
        <w:rPr>
          <w:rFonts w:ascii="Times New Roman" w:eastAsia="SimSun" w:hAnsi="Times New Roman" w:cs="Times New Roman"/>
          <w:b/>
          <w:bCs/>
          <w:sz w:val="24"/>
          <w:szCs w:val="24"/>
          <w:lang w:val="en-GB"/>
        </w:rPr>
        <w:t xml:space="preserve">. </w:t>
      </w:r>
      <w:r w:rsidRPr="00F711C6">
        <w:rPr>
          <w:rFonts w:ascii="Times New Roman" w:eastAsia="SimSun" w:hAnsi="Times New Roman" w:cs="Times New Roman"/>
          <w:b/>
          <w:bCs/>
          <w:sz w:val="24"/>
          <w:szCs w:val="24"/>
          <w:lang w:val="en-GB"/>
        </w:rPr>
        <w:t>Crosstabulation</w:t>
      </w:r>
    </w:p>
    <w:p w14:paraId="669DB1D6" w14:textId="09E3C8BF"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br/>
        <w:t>To delve deeper into the factors influencing personal electronics purchases, simple crosstabulation emerges as a powerful analytical tool. This method allows for a meticulous examination of the relationship between two variables—in this case, income levels and VCR ownership.</w:t>
      </w:r>
    </w:p>
    <w:p w14:paraId="74EEB940" w14:textId="77777777" w:rsidR="00F102CD" w:rsidRPr="00F102CD" w:rsidRDefault="00F102CD" w:rsidP="00F102CD">
      <w:pPr>
        <w:jc w:val="both"/>
        <w:rPr>
          <w:rFonts w:ascii="Times New Roman" w:eastAsia="SimSun" w:hAnsi="Times New Roman" w:cs="Times New Roman"/>
          <w:sz w:val="24"/>
          <w:szCs w:val="24"/>
          <w:lang w:val="en-GB"/>
        </w:rPr>
      </w:pPr>
    </w:p>
    <w:p w14:paraId="4ABC423F" w14:textId="77777777"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Through crosstabulation, the dataset is organized into a contingency table, presenting a clear overview of how VCR ownership varies across different income brackets. The income variable, acting as the focal point, serves to segment the surveyed population based on their income levels. Meanwhile, the VCR ownership variable provides insights into the prevalence of VCRs within each income group.</w:t>
      </w:r>
    </w:p>
    <w:p w14:paraId="62C9C3FD" w14:textId="77777777" w:rsidR="00F102CD" w:rsidRPr="00F102CD" w:rsidRDefault="00F102CD" w:rsidP="00F102CD">
      <w:pPr>
        <w:jc w:val="both"/>
        <w:rPr>
          <w:rFonts w:ascii="Times New Roman" w:eastAsia="SimSun" w:hAnsi="Times New Roman" w:cs="Times New Roman"/>
          <w:sz w:val="24"/>
          <w:szCs w:val="24"/>
          <w:lang w:val="en-GB"/>
        </w:rPr>
      </w:pPr>
    </w:p>
    <w:p w14:paraId="33464D1E" w14:textId="452FE2ED"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By cross-referencing these variables, the crosstabulation uncovers nuanced patterns and correlations. It reveals whether there exists a significant association between income levels and the likelihood of owning a VCR. This analysis goes beyond mere statistics, shedding light on the socio-economic dynamics that might influence consumer behaviours towards VCR purchases.</w:t>
      </w:r>
    </w:p>
    <w:p w14:paraId="0994166A" w14:textId="77777777" w:rsidR="00F102CD" w:rsidRPr="00F102CD" w:rsidRDefault="00F102CD" w:rsidP="00F102CD">
      <w:pPr>
        <w:jc w:val="both"/>
        <w:rPr>
          <w:rFonts w:ascii="Times New Roman" w:eastAsia="SimSun" w:hAnsi="Times New Roman" w:cs="Times New Roman"/>
          <w:sz w:val="24"/>
          <w:szCs w:val="24"/>
          <w:lang w:val="en-GB"/>
        </w:rPr>
      </w:pPr>
    </w:p>
    <w:p w14:paraId="2B0956C2" w14:textId="77777777"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For instance, the crosstabulation might reveal that individuals in higher income brackets exhibit a higher propensity to own VCRs, perhaps due to disposable income, lifestyle preferences, or generational factors. Conversely, lower income groups might demonstrate a lower prevalence of VCR ownership, hinting at potential affordability constraints or evolving technology preferences.</w:t>
      </w:r>
    </w:p>
    <w:p w14:paraId="205228AB" w14:textId="77777777"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 xml:space="preserve">Ultimately, this simple yet insightful analysis through crosstabulation allows researchers and analysts to glean actionable insights. It enables the identification of </w:t>
      </w:r>
      <w:r w:rsidRPr="00F102CD">
        <w:rPr>
          <w:rFonts w:ascii="Times New Roman" w:eastAsia="SimSun" w:hAnsi="Times New Roman" w:cs="Times New Roman"/>
          <w:sz w:val="24"/>
          <w:szCs w:val="24"/>
          <w:lang w:val="en-GB"/>
        </w:rPr>
        <w:lastRenderedPageBreak/>
        <w:t>target demographics, the formulation of tailored marketing strategies, or even the exploration of broader socio-economic trends in consumer electronics adoption. By leveraging the relationship between income levels and VCR ownership, businesses and policymakers alike can make informed decisions to better serve their target audiences.</w:t>
      </w:r>
    </w:p>
    <w:p w14:paraId="08B44303" w14:textId="77777777" w:rsidR="00371098" w:rsidRPr="00F102CD" w:rsidRDefault="00371098" w:rsidP="00F102CD">
      <w:pPr>
        <w:jc w:val="both"/>
        <w:rPr>
          <w:rFonts w:ascii="Times New Roman" w:eastAsia="SimSun" w:hAnsi="Times New Roman" w:cs="Times New Roman"/>
          <w:sz w:val="24"/>
          <w:szCs w:val="24"/>
          <w:lang w:val="en-GB"/>
        </w:rPr>
      </w:pPr>
    </w:p>
    <w:p w14:paraId="067B855D" w14:textId="77777777" w:rsidR="00371098" w:rsidRDefault="00371098">
      <w:pPr>
        <w:rPr>
          <w:rFonts w:ascii="SimSun" w:eastAsia="SimSun" w:hAnsi="SimSun" w:cs="SimSun"/>
          <w:sz w:val="24"/>
          <w:szCs w:val="24"/>
          <w:lang w:val="en-GB"/>
        </w:rPr>
      </w:pPr>
    </w:p>
    <w:p w14:paraId="4BB7E7E6" w14:textId="77777777" w:rsidR="00371098" w:rsidRDefault="00000000">
      <w:r>
        <w:rPr>
          <w:noProof/>
        </w:rPr>
        <w:drawing>
          <wp:inline distT="0" distB="0" distL="114300" distR="114300" wp14:anchorId="389244C4" wp14:editId="5E64EC24">
            <wp:extent cx="436245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362450" cy="1933575"/>
                    </a:xfrm>
                    <a:prstGeom prst="rect">
                      <a:avLst/>
                    </a:prstGeom>
                    <a:noFill/>
                    <a:ln>
                      <a:noFill/>
                    </a:ln>
                  </pic:spPr>
                </pic:pic>
              </a:graphicData>
            </a:graphic>
          </wp:inline>
        </w:drawing>
      </w:r>
    </w:p>
    <w:p w14:paraId="69483559" w14:textId="77777777" w:rsidR="00371098" w:rsidRDefault="00371098"/>
    <w:p w14:paraId="12338C86" w14:textId="77777777" w:rsidR="00371098" w:rsidRDefault="00371098"/>
    <w:p w14:paraId="6A7C91FF" w14:textId="77777777"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As we delve into the crosstabulation table detailing the relationship between income levels and VCR ownership, each cell represents the count or number of cases falling within a specific combination of values. For instance, we observe that 2,313 individuals within the income range of $25,000–$49,000 report owning VCRs.</w:t>
      </w:r>
    </w:p>
    <w:p w14:paraId="2ACF3E79" w14:textId="77777777" w:rsidR="00F102CD" w:rsidRPr="00F102CD" w:rsidRDefault="00F102CD" w:rsidP="00F102CD">
      <w:pPr>
        <w:jc w:val="both"/>
        <w:rPr>
          <w:rFonts w:ascii="Times New Roman" w:eastAsia="SimSun" w:hAnsi="Times New Roman" w:cs="Times New Roman"/>
          <w:sz w:val="24"/>
          <w:szCs w:val="24"/>
          <w:lang w:val="en-GB"/>
        </w:rPr>
      </w:pPr>
    </w:p>
    <w:p w14:paraId="47F9E32A" w14:textId="77777777"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Upon initial inspection, none of the numbers within this table immediately stand out as indicative of a clear relationship between the variables. The counts distributed across the various income brackets do not demonstrate a distinct pattern that would suggest a straightforward association between income levels and VCR ownership.</w:t>
      </w:r>
    </w:p>
    <w:p w14:paraId="6D8B4805" w14:textId="77777777" w:rsidR="00F102CD" w:rsidRPr="00F102CD" w:rsidRDefault="00F102CD" w:rsidP="00F102CD">
      <w:pPr>
        <w:jc w:val="both"/>
        <w:rPr>
          <w:rFonts w:ascii="Times New Roman" w:eastAsia="SimSun" w:hAnsi="Times New Roman" w:cs="Times New Roman"/>
          <w:sz w:val="24"/>
          <w:szCs w:val="24"/>
          <w:lang w:val="en-GB"/>
        </w:rPr>
      </w:pPr>
    </w:p>
    <w:p w14:paraId="588CA1F1" w14:textId="044C4C55"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This lack of an obvious trend or relationship highlights the complexity of consumer behaviours and purchase decisions. While it might be tempting to expect a linear progression—such as higher incomes correlating with higher rates of VCR ownership—the reality is often more nuanced.</w:t>
      </w:r>
    </w:p>
    <w:p w14:paraId="081B590D" w14:textId="77777777" w:rsidR="00F102CD" w:rsidRPr="00F102CD" w:rsidRDefault="00F102CD" w:rsidP="00F102CD">
      <w:pPr>
        <w:jc w:val="both"/>
        <w:rPr>
          <w:rFonts w:ascii="Times New Roman" w:eastAsia="SimSun" w:hAnsi="Times New Roman" w:cs="Times New Roman"/>
          <w:sz w:val="24"/>
          <w:szCs w:val="24"/>
          <w:lang w:val="en-GB"/>
        </w:rPr>
      </w:pPr>
    </w:p>
    <w:p w14:paraId="262D72AB" w14:textId="77777777"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Several factors could contribute to this seemingly disparate distribution of VCR ownership across income brackets. For instance, cultural preferences, generational influences, technological advancements, or even regional differences might all play a role in shaping these patterns.</w:t>
      </w:r>
    </w:p>
    <w:p w14:paraId="0FBA5667" w14:textId="77777777" w:rsidR="00F102CD" w:rsidRPr="00F102CD" w:rsidRDefault="00F102CD" w:rsidP="00F102CD">
      <w:pPr>
        <w:jc w:val="both"/>
        <w:rPr>
          <w:rFonts w:ascii="Times New Roman" w:eastAsia="SimSun" w:hAnsi="Times New Roman" w:cs="Times New Roman"/>
          <w:sz w:val="24"/>
          <w:szCs w:val="24"/>
          <w:lang w:val="en-GB"/>
        </w:rPr>
      </w:pPr>
    </w:p>
    <w:p w14:paraId="3894D4FA" w14:textId="4AFD9593"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Despite the absence of a glaring trend, this crosstabulation table remains a valuable tool for analysis. It prompts further exploration into the nuances of consumer behaviours within different income groups. Researchers might delve deeper into specific subsets of the data, conduct additional statistical tests, or explore qualitative insights to uncover hidden relationships or factors at play.</w:t>
      </w:r>
    </w:p>
    <w:p w14:paraId="37D450A1" w14:textId="77777777" w:rsidR="00F102CD" w:rsidRPr="00F102CD" w:rsidRDefault="00F102CD" w:rsidP="00F102CD">
      <w:pPr>
        <w:jc w:val="both"/>
        <w:rPr>
          <w:rFonts w:ascii="Times New Roman" w:eastAsia="SimSun" w:hAnsi="Times New Roman" w:cs="Times New Roman"/>
          <w:sz w:val="24"/>
          <w:szCs w:val="24"/>
          <w:lang w:val="en-GB"/>
        </w:rPr>
      </w:pPr>
    </w:p>
    <w:p w14:paraId="40BB3FE8" w14:textId="58323CB8" w:rsidR="00F102CD" w:rsidRPr="00F102CD" w:rsidRDefault="00F102CD" w:rsidP="00F102CD">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By leveraging the information within this crosstabulation, analysts can refine their understanding of the intricate interplay between income levels and VCR ownership. This nuanced approach lays the groundwork for more targeted marketing strategies, product development initiatives, or policy decisions tailored to the diverse preferences and behaviours of the consumer base.</w:t>
      </w:r>
    </w:p>
    <w:p w14:paraId="20FEDE84" w14:textId="77777777" w:rsidR="00371098" w:rsidRDefault="00371098">
      <w:pPr>
        <w:rPr>
          <w:rFonts w:ascii="Calibri" w:eastAsia="SimSun" w:hAnsi="Calibri"/>
          <w:sz w:val="24"/>
          <w:szCs w:val="24"/>
        </w:rPr>
      </w:pPr>
    </w:p>
    <w:p w14:paraId="6CAB2B78" w14:textId="43A8F9D8" w:rsidR="00371098" w:rsidRPr="00F102CD" w:rsidRDefault="00000000">
      <w:pPr>
        <w:rPr>
          <w:rFonts w:ascii="Times New Roman" w:eastAsia="SimSun" w:hAnsi="Times New Roman" w:cs="Times New Roman"/>
          <w:b/>
          <w:bCs/>
          <w:sz w:val="24"/>
          <w:szCs w:val="24"/>
        </w:rPr>
      </w:pPr>
      <w:r w:rsidRPr="00F102CD">
        <w:rPr>
          <w:rFonts w:ascii="Times New Roman" w:eastAsia="SimSun" w:hAnsi="Times New Roman" w:cs="Times New Roman"/>
          <w:b/>
          <w:bCs/>
          <w:sz w:val="24"/>
          <w:szCs w:val="24"/>
          <w:lang w:val="en-GB"/>
        </w:rPr>
        <w:t>7.0</w:t>
      </w:r>
      <w:r w:rsidR="00F102CD">
        <w:rPr>
          <w:rFonts w:ascii="Times New Roman" w:eastAsia="SimSun" w:hAnsi="Times New Roman" w:cs="Times New Roman"/>
          <w:b/>
          <w:bCs/>
          <w:sz w:val="24"/>
          <w:szCs w:val="24"/>
          <w:lang w:val="en-GB"/>
        </w:rPr>
        <w:t xml:space="preserve">. </w:t>
      </w:r>
      <w:r w:rsidRPr="00F102CD">
        <w:rPr>
          <w:rFonts w:ascii="Times New Roman" w:eastAsia="SimSun" w:hAnsi="Times New Roman" w:cs="Times New Roman"/>
          <w:b/>
          <w:bCs/>
          <w:sz w:val="24"/>
          <w:szCs w:val="24"/>
        </w:rPr>
        <w:t>Counts vs. Percentages</w:t>
      </w:r>
    </w:p>
    <w:p w14:paraId="7DAF794D" w14:textId="77777777" w:rsidR="00371098" w:rsidRDefault="00371098">
      <w:pPr>
        <w:rPr>
          <w:rFonts w:ascii="SimSun" w:eastAsia="SimSun" w:hAnsi="SimSun" w:cs="SimSun"/>
          <w:sz w:val="24"/>
          <w:szCs w:val="24"/>
        </w:rPr>
      </w:pPr>
    </w:p>
    <w:p w14:paraId="590D37C3" w14:textId="29883FAE" w:rsidR="00F102CD" w:rsidRPr="00B57C84" w:rsidRDefault="00F102CD"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Analysing</w:t>
      </w:r>
      <w:r w:rsidRPr="00F102CD">
        <w:rPr>
          <w:rFonts w:ascii="Times New Roman" w:eastAsia="SimSun" w:hAnsi="Times New Roman" w:cs="Times New Roman"/>
          <w:sz w:val="24"/>
          <w:szCs w:val="24"/>
          <w:lang w:val="en-GB"/>
        </w:rPr>
        <w:t xml:space="preserve"> a crosstabulation solely based on the raw counts in each cell can often lead to misinterpretations, especially when dealing with varying sample sizes across categories. For instance, observing that there are more than twice as many VCR owners in the $25,000–$49,000 income category compared to the under $25,000 category might not provide meaningful insights on its own. This is because there are also more than twice as many individuals in the $25,000–$49,000 income bracket.</w:t>
      </w:r>
    </w:p>
    <w:p w14:paraId="603A4843" w14:textId="77777777" w:rsidR="00F102CD" w:rsidRPr="00F102CD" w:rsidRDefault="00F102CD" w:rsidP="00B57C84">
      <w:pPr>
        <w:jc w:val="both"/>
        <w:rPr>
          <w:rFonts w:ascii="Times New Roman" w:eastAsia="SimSun" w:hAnsi="Times New Roman" w:cs="Times New Roman"/>
          <w:sz w:val="24"/>
          <w:szCs w:val="24"/>
          <w:lang w:val="en-GB"/>
        </w:rPr>
      </w:pPr>
    </w:p>
    <w:p w14:paraId="6B211E63" w14:textId="77777777" w:rsidR="00F102CD" w:rsidRPr="00B57C84" w:rsidRDefault="00F102CD" w:rsidP="00B57C84">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To address this issue and gain a clearer understanding of the relationship between income levels and VCR ownership, converting the counts into percentages proves to be invaluable. By comparing percentages within each income category, a more standardized and equitable comparison emerges. This approach allows for a fair assessment of ownership rates relative to the size of each income group.</w:t>
      </w:r>
    </w:p>
    <w:p w14:paraId="28F5868B" w14:textId="77777777" w:rsidR="00F102CD" w:rsidRPr="00F102CD" w:rsidRDefault="00F102CD" w:rsidP="00B57C84">
      <w:pPr>
        <w:jc w:val="both"/>
        <w:rPr>
          <w:rFonts w:ascii="Times New Roman" w:eastAsia="SimSun" w:hAnsi="Times New Roman" w:cs="Times New Roman"/>
          <w:sz w:val="24"/>
          <w:szCs w:val="24"/>
          <w:lang w:val="en-GB"/>
        </w:rPr>
      </w:pPr>
    </w:p>
    <w:p w14:paraId="0E017CBF" w14:textId="6A1B7723" w:rsidR="00F102CD" w:rsidRPr="00F102CD" w:rsidRDefault="00F102CD" w:rsidP="00B57C84">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Upon converting the counts into percentages, a more nuanced and revealing pattern begins to unfold. The crosstabulation table now paints a clearer picture, showcasing how the percentage of individuals owning VCRs rises as income categories ascend.</w:t>
      </w:r>
    </w:p>
    <w:p w14:paraId="0409FE30" w14:textId="77777777" w:rsidR="00F102CD" w:rsidRPr="00B57C84" w:rsidRDefault="00F102CD" w:rsidP="00B57C84">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For example, the table might reveal that while the $25,000–$49,000 income bracket has more VCR owners in absolute terms, the percentage of VCR owners within this group is lower than in higher income brackets. Conversely, the under $25,000 income category might exhibit a higher percentage of VCR ownership despite its smaller absolute count, highlighting a potentially stronger association between lower income levels and VCR ownership.</w:t>
      </w:r>
    </w:p>
    <w:p w14:paraId="5A689D3C" w14:textId="77777777" w:rsidR="00F102CD" w:rsidRPr="00F102CD" w:rsidRDefault="00F102CD" w:rsidP="00B57C84">
      <w:pPr>
        <w:jc w:val="both"/>
        <w:rPr>
          <w:rFonts w:ascii="Times New Roman" w:eastAsia="SimSun" w:hAnsi="Times New Roman" w:cs="Times New Roman"/>
          <w:sz w:val="24"/>
          <w:szCs w:val="24"/>
          <w:lang w:val="en-GB"/>
        </w:rPr>
      </w:pPr>
    </w:p>
    <w:p w14:paraId="0E692D2A" w14:textId="77777777" w:rsidR="00F102CD" w:rsidRPr="00B57C84" w:rsidRDefault="00F102CD" w:rsidP="00B57C84">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This shift from counts to percentages offers a more standardized and comparative view, allowing analysts to discern meaningful trends and patterns. It aids in uncovering subtle relationships that might not be immediately apparent when focusing solely on raw counts.</w:t>
      </w:r>
    </w:p>
    <w:p w14:paraId="035C35F9" w14:textId="77777777" w:rsidR="00F102CD" w:rsidRPr="00F102CD" w:rsidRDefault="00F102CD" w:rsidP="00B57C84">
      <w:pPr>
        <w:jc w:val="both"/>
        <w:rPr>
          <w:rFonts w:ascii="Times New Roman" w:eastAsia="SimSun" w:hAnsi="Times New Roman" w:cs="Times New Roman"/>
          <w:sz w:val="24"/>
          <w:szCs w:val="24"/>
          <w:lang w:val="en-GB"/>
        </w:rPr>
      </w:pPr>
    </w:p>
    <w:p w14:paraId="73F660CC" w14:textId="77777777" w:rsidR="00F102CD" w:rsidRPr="00F102CD" w:rsidRDefault="00F102CD" w:rsidP="00B57C84">
      <w:pPr>
        <w:jc w:val="both"/>
        <w:rPr>
          <w:rFonts w:ascii="Times New Roman" w:eastAsia="SimSun" w:hAnsi="Times New Roman" w:cs="Times New Roman"/>
          <w:sz w:val="24"/>
          <w:szCs w:val="24"/>
          <w:lang w:val="en-GB"/>
        </w:rPr>
      </w:pPr>
      <w:r w:rsidRPr="00F102CD">
        <w:rPr>
          <w:rFonts w:ascii="Times New Roman" w:eastAsia="SimSun" w:hAnsi="Times New Roman" w:cs="Times New Roman"/>
          <w:sz w:val="24"/>
          <w:szCs w:val="24"/>
          <w:lang w:val="en-GB"/>
        </w:rPr>
        <w:t>By embracing this approach, the analysis gains depth and clarity, empowering researchers to draw informed conclusions about the impact of income levels on VCR ownership. This nuanced understanding can then inform strategic decisions, marketing campaigns, or policy initiatives tailored to the diverse consumer landscape across income groups.</w:t>
      </w:r>
    </w:p>
    <w:p w14:paraId="5F7176D1" w14:textId="77777777" w:rsidR="00371098" w:rsidRDefault="00371098">
      <w:pPr>
        <w:rPr>
          <w:rFonts w:ascii="SimSun" w:eastAsia="SimSun" w:hAnsi="SimSun" w:cs="SimSun"/>
          <w:sz w:val="24"/>
          <w:szCs w:val="24"/>
        </w:rPr>
      </w:pPr>
    </w:p>
    <w:p w14:paraId="1EE81F32" w14:textId="77777777" w:rsidR="00371098" w:rsidRDefault="00371098">
      <w:pPr>
        <w:rPr>
          <w:rFonts w:ascii="SimSun" w:eastAsia="SimSun" w:hAnsi="SimSun" w:cs="SimSun"/>
          <w:sz w:val="24"/>
          <w:szCs w:val="24"/>
        </w:rPr>
      </w:pPr>
    </w:p>
    <w:p w14:paraId="4A0190E3" w14:textId="77777777" w:rsidR="00371098" w:rsidRDefault="00371098">
      <w:pPr>
        <w:rPr>
          <w:rFonts w:ascii="SimSun" w:eastAsia="SimSun" w:hAnsi="SimSun" w:cs="SimSun"/>
          <w:sz w:val="24"/>
          <w:szCs w:val="24"/>
        </w:rPr>
      </w:pPr>
    </w:p>
    <w:p w14:paraId="3920387F" w14:textId="77777777" w:rsidR="00371098" w:rsidRDefault="00371098">
      <w:pPr>
        <w:rPr>
          <w:rFonts w:ascii="SimSun" w:eastAsia="SimSun" w:hAnsi="SimSun" w:cs="SimSun"/>
          <w:sz w:val="24"/>
          <w:szCs w:val="24"/>
        </w:rPr>
      </w:pPr>
    </w:p>
    <w:p w14:paraId="2424266C" w14:textId="77777777" w:rsidR="00371098" w:rsidRDefault="00000000">
      <w:pPr>
        <w:rPr>
          <w:rFonts w:ascii="SimSun" w:eastAsia="SimSun" w:hAnsi="SimSun" w:cs="SimSun"/>
          <w:sz w:val="24"/>
          <w:szCs w:val="24"/>
          <w:lang w:val="en-GB"/>
        </w:rPr>
      </w:pPr>
      <w:r>
        <w:rPr>
          <w:noProof/>
        </w:rPr>
        <w:lastRenderedPageBreak/>
        <w:drawing>
          <wp:inline distT="0" distB="0" distL="114300" distR="114300" wp14:anchorId="60C41238" wp14:editId="5CFBD2D2">
            <wp:extent cx="5272405" cy="3923030"/>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2405" cy="3923030"/>
                    </a:xfrm>
                    <a:prstGeom prst="rect">
                      <a:avLst/>
                    </a:prstGeom>
                    <a:noFill/>
                    <a:ln>
                      <a:noFill/>
                    </a:ln>
                  </pic:spPr>
                </pic:pic>
              </a:graphicData>
            </a:graphic>
          </wp:inline>
        </w:drawing>
      </w:r>
    </w:p>
    <w:p w14:paraId="19E2BF40" w14:textId="77777777" w:rsidR="00371098" w:rsidRDefault="00371098">
      <w:pPr>
        <w:rPr>
          <w:rFonts w:ascii="SimSun" w:eastAsia="SimSun" w:hAnsi="SimSun" w:cs="SimSun"/>
          <w:sz w:val="24"/>
          <w:szCs w:val="24"/>
          <w:lang w:val="en-GB"/>
        </w:rPr>
      </w:pPr>
    </w:p>
    <w:p w14:paraId="2ACFAEB4" w14:textId="77777777" w:rsidR="00371098" w:rsidRDefault="00371098">
      <w:pPr>
        <w:rPr>
          <w:rFonts w:ascii="SimSun" w:eastAsia="SimSun" w:hAnsi="SimSun" w:cs="SimSun"/>
          <w:sz w:val="24"/>
          <w:szCs w:val="24"/>
          <w:lang w:val="en-GB"/>
        </w:rPr>
      </w:pPr>
    </w:p>
    <w:p w14:paraId="7C6DE88F" w14:textId="6E4DB4AB" w:rsidR="00371098" w:rsidRPr="00B57C84" w:rsidRDefault="00000000">
      <w:pPr>
        <w:rPr>
          <w:rFonts w:ascii="Times New Roman" w:eastAsia="SimSun" w:hAnsi="Times New Roman" w:cs="Times New Roman"/>
          <w:b/>
          <w:bCs/>
          <w:sz w:val="24"/>
          <w:szCs w:val="24"/>
          <w:lang w:val="en-GB"/>
        </w:rPr>
      </w:pPr>
      <w:r w:rsidRPr="00B57C84">
        <w:rPr>
          <w:rFonts w:ascii="Times New Roman" w:eastAsia="SimSun" w:hAnsi="Times New Roman" w:cs="Times New Roman"/>
          <w:b/>
          <w:bCs/>
          <w:sz w:val="24"/>
          <w:szCs w:val="24"/>
          <w:lang w:val="en-GB"/>
        </w:rPr>
        <w:t>8.0</w:t>
      </w:r>
      <w:r w:rsidR="00B57C84">
        <w:rPr>
          <w:rFonts w:ascii="Times New Roman" w:eastAsia="SimSun" w:hAnsi="Times New Roman" w:cs="Times New Roman"/>
          <w:b/>
          <w:bCs/>
          <w:sz w:val="24"/>
          <w:szCs w:val="24"/>
          <w:lang w:val="en-GB"/>
        </w:rPr>
        <w:t xml:space="preserve">. </w:t>
      </w:r>
      <w:r w:rsidRPr="00B57C84">
        <w:rPr>
          <w:rFonts w:ascii="Times New Roman" w:eastAsia="SimSun" w:hAnsi="Times New Roman" w:cs="Times New Roman"/>
          <w:b/>
          <w:bCs/>
          <w:sz w:val="24"/>
          <w:szCs w:val="24"/>
        </w:rPr>
        <w:t>Significance Testing for Crosstabulations</w:t>
      </w:r>
      <w:r w:rsidRPr="00B57C84">
        <w:rPr>
          <w:rFonts w:ascii="Times New Roman" w:eastAsia="SimSun" w:hAnsi="Times New Roman" w:cs="Times New Roman"/>
          <w:b/>
          <w:bCs/>
          <w:sz w:val="24"/>
          <w:szCs w:val="24"/>
          <w:lang w:val="en-GB"/>
        </w:rPr>
        <w:t>.</w:t>
      </w:r>
    </w:p>
    <w:p w14:paraId="1F7FA67E" w14:textId="77777777" w:rsidR="00371098" w:rsidRDefault="00371098">
      <w:pPr>
        <w:rPr>
          <w:rFonts w:ascii="SimSun" w:eastAsia="SimSun" w:hAnsi="SimSun" w:cs="SimSun"/>
          <w:sz w:val="24"/>
          <w:szCs w:val="24"/>
          <w:lang w:val="en-GB"/>
        </w:rPr>
      </w:pPr>
    </w:p>
    <w:p w14:paraId="5E79B881"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At the core of crosstabulation analysis lies the aim to illuminate the relationship between two variables. In the context of the current study, the focus is on understanding how income levels influence VCR ownership. However, the mere observation of counts or percentages within a crosstabulation table might not suffice to ascertain the significance of this relationship. This is where statistical tests, such as the chi-square test, come into play.</w:t>
      </w:r>
    </w:p>
    <w:p w14:paraId="241DA243" w14:textId="77777777" w:rsidR="00B57C84" w:rsidRPr="00B57C84" w:rsidRDefault="00B57C84" w:rsidP="00B57C84">
      <w:pPr>
        <w:jc w:val="both"/>
        <w:rPr>
          <w:rFonts w:ascii="Times New Roman" w:eastAsia="SimSun" w:hAnsi="Times New Roman" w:cs="Times New Roman"/>
          <w:sz w:val="24"/>
          <w:szCs w:val="24"/>
          <w:lang w:val="en-GB"/>
        </w:rPr>
      </w:pPr>
    </w:p>
    <w:p w14:paraId="7EA826D8"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The chi-square test serves as a robust tool to determine whether the observed relationship between two cross-tabulated variables is statistically significant or merely the result of random chance. This statistical test assesses the difference between the observed frequencies in the crosstabulation table and the frequencies that would be expected if there were no true relationship between the variables.</w:t>
      </w:r>
    </w:p>
    <w:p w14:paraId="0895D19A" w14:textId="77777777" w:rsidR="00B57C84" w:rsidRPr="00B57C84" w:rsidRDefault="00B57C84" w:rsidP="00B57C84">
      <w:pPr>
        <w:jc w:val="both"/>
        <w:rPr>
          <w:rFonts w:ascii="Times New Roman" w:eastAsia="SimSun" w:hAnsi="Times New Roman" w:cs="Times New Roman"/>
          <w:sz w:val="24"/>
          <w:szCs w:val="24"/>
          <w:lang w:val="en-GB"/>
        </w:rPr>
      </w:pPr>
    </w:p>
    <w:p w14:paraId="13E72196"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One notable advantage of the chi-square test is its versatility and applicability to various types of data. Whether dealing with nominal, ordinal, or interval-level data, the chi-square test remains a reliable method for assessing associations between variables.</w:t>
      </w:r>
    </w:p>
    <w:p w14:paraId="70463176" w14:textId="77777777" w:rsidR="00B57C84" w:rsidRPr="00B57C84" w:rsidRDefault="00B57C84" w:rsidP="00B57C84">
      <w:pPr>
        <w:jc w:val="both"/>
        <w:rPr>
          <w:rFonts w:ascii="Times New Roman" w:eastAsia="SimSun" w:hAnsi="Times New Roman" w:cs="Times New Roman"/>
          <w:sz w:val="24"/>
          <w:szCs w:val="24"/>
          <w:lang w:val="en-GB"/>
        </w:rPr>
      </w:pPr>
    </w:p>
    <w:p w14:paraId="25002760" w14:textId="381761DD"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By conducting a chi-square test on the crosstabulated data of income levels and VCR ownership, analysts can ascertain whether the observed differences in ownership rates across income categories are statistically meaningful. A significant chi-square result indicates that the relationship between income levels and VCR ownership is unlikely to have occurred by random chance alone. Instead, it suggests a legitimate association between these variables.</w:t>
      </w:r>
    </w:p>
    <w:p w14:paraId="0E5807A0" w14:textId="77777777" w:rsidR="00B57C84" w:rsidRPr="00B57C84" w:rsidRDefault="00B57C84" w:rsidP="00B57C84">
      <w:pPr>
        <w:jc w:val="both"/>
        <w:rPr>
          <w:rFonts w:ascii="Times New Roman" w:eastAsia="SimSun" w:hAnsi="Times New Roman" w:cs="Times New Roman"/>
          <w:sz w:val="24"/>
          <w:szCs w:val="24"/>
          <w:lang w:val="en-GB"/>
        </w:rPr>
      </w:pPr>
    </w:p>
    <w:p w14:paraId="11F343FA"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This statistical validation offers crucial insights for researchers, marketers, or policymakers. It confirms whether income levels indeed play a significant role in determining VCR ownership patterns within the studied population. Armed with this knowledge, stakeholders can make informed decisions, tailor marketing strategies, allocate resources efficiently, or design interventions to better cater to the preferences and needs of specific income groups.</w:t>
      </w:r>
    </w:p>
    <w:p w14:paraId="63D76D52" w14:textId="77777777" w:rsidR="00B57C84" w:rsidRPr="00B57C84" w:rsidRDefault="00B57C84" w:rsidP="00B57C84">
      <w:pPr>
        <w:jc w:val="both"/>
        <w:rPr>
          <w:rFonts w:ascii="Times New Roman" w:eastAsia="SimSun" w:hAnsi="Times New Roman" w:cs="Times New Roman"/>
          <w:sz w:val="24"/>
          <w:szCs w:val="24"/>
          <w:lang w:val="en-GB"/>
        </w:rPr>
      </w:pPr>
    </w:p>
    <w:p w14:paraId="3C8386D7"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In essence, the chi-square test serves as a powerful ally in the realm of crosstabulation analysis, enabling researchers to move beyond descriptive statistics and uncover meaningful relationships between variables. Its versatility and ability to handle various types of data make it a go-to method for determining the significance of observed associations in diverse research contexts.</w:t>
      </w:r>
    </w:p>
    <w:p w14:paraId="7D37A916" w14:textId="77777777" w:rsidR="00371098" w:rsidRPr="00B57C84" w:rsidRDefault="00371098" w:rsidP="00B57C84">
      <w:pPr>
        <w:jc w:val="both"/>
        <w:rPr>
          <w:rFonts w:ascii="Times New Roman" w:eastAsia="SimSun" w:hAnsi="Times New Roman" w:cs="Times New Roman"/>
          <w:sz w:val="24"/>
          <w:szCs w:val="24"/>
        </w:rPr>
      </w:pPr>
    </w:p>
    <w:p w14:paraId="5B5E9BEA" w14:textId="77777777" w:rsidR="00371098" w:rsidRDefault="00000000">
      <w:pPr>
        <w:rPr>
          <w:rFonts w:ascii="SimSun" w:eastAsia="SimSun" w:hAnsi="SimSun" w:cs="SimSun"/>
          <w:sz w:val="24"/>
          <w:szCs w:val="24"/>
          <w:lang w:val="en-GB"/>
        </w:rPr>
      </w:pPr>
      <w:r>
        <w:rPr>
          <w:noProof/>
        </w:rPr>
        <w:drawing>
          <wp:inline distT="0" distB="0" distL="114300" distR="114300" wp14:anchorId="43D3B262" wp14:editId="2B6F2940">
            <wp:extent cx="3886200" cy="197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886200" cy="1971675"/>
                    </a:xfrm>
                    <a:prstGeom prst="rect">
                      <a:avLst/>
                    </a:prstGeom>
                    <a:noFill/>
                    <a:ln>
                      <a:noFill/>
                    </a:ln>
                  </pic:spPr>
                </pic:pic>
              </a:graphicData>
            </a:graphic>
          </wp:inline>
        </w:drawing>
      </w:r>
    </w:p>
    <w:p w14:paraId="579041A3" w14:textId="77777777" w:rsidR="00371098" w:rsidRDefault="00371098">
      <w:pPr>
        <w:rPr>
          <w:rFonts w:ascii="SimSun" w:eastAsia="SimSun" w:hAnsi="SimSun" w:cs="SimSun"/>
          <w:sz w:val="24"/>
          <w:szCs w:val="24"/>
          <w:lang w:val="en-GB"/>
        </w:rPr>
      </w:pPr>
    </w:p>
    <w:p w14:paraId="5432FE0E" w14:textId="77777777" w:rsidR="00371098" w:rsidRDefault="00371098">
      <w:pPr>
        <w:rPr>
          <w:rFonts w:ascii="SimSun" w:eastAsia="SimSun" w:hAnsi="SimSun" w:cs="SimSun"/>
          <w:sz w:val="24"/>
          <w:szCs w:val="24"/>
          <w:lang w:val="en-GB"/>
        </w:rPr>
      </w:pPr>
    </w:p>
    <w:p w14:paraId="41CF8A79"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 xml:space="preserve">Within the realm of statistical analysis, the significance value (often denoted as </w:t>
      </w:r>
      <w:proofErr w:type="spellStart"/>
      <w:r w:rsidRPr="00B57C84">
        <w:rPr>
          <w:rFonts w:ascii="Times New Roman" w:eastAsia="SimSun" w:hAnsi="Times New Roman" w:cs="Times New Roman"/>
          <w:sz w:val="24"/>
          <w:szCs w:val="24"/>
          <w:lang w:val="en-GB"/>
        </w:rPr>
        <w:t>Asymp</w:t>
      </w:r>
      <w:proofErr w:type="spellEnd"/>
      <w:r w:rsidRPr="00B57C84">
        <w:rPr>
          <w:rFonts w:ascii="Times New Roman" w:eastAsia="SimSun" w:hAnsi="Times New Roman" w:cs="Times New Roman"/>
          <w:sz w:val="24"/>
          <w:szCs w:val="24"/>
          <w:lang w:val="en-GB"/>
        </w:rPr>
        <w:t>. Sig.) holds the key to unlocking the meaning behind the relationship between two variables, as revealed through tests like the chi-square test. This value provides a measure of the probability that the observed relationship between variables is due to random chance alone.</w:t>
      </w:r>
    </w:p>
    <w:p w14:paraId="17C5C11B" w14:textId="77777777" w:rsidR="00B57C84" w:rsidRPr="00B57C84" w:rsidRDefault="00B57C84" w:rsidP="00B57C84">
      <w:pPr>
        <w:jc w:val="both"/>
        <w:rPr>
          <w:rFonts w:ascii="Times New Roman" w:eastAsia="SimSun" w:hAnsi="Times New Roman" w:cs="Times New Roman"/>
          <w:sz w:val="24"/>
          <w:szCs w:val="24"/>
          <w:lang w:val="en-GB"/>
        </w:rPr>
      </w:pPr>
    </w:p>
    <w:p w14:paraId="5200151B"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In the context of the current study examining the relationship between income levels and VCR ownership, the significance value obtained from the chi-square test is a critical piece of information. A lower significance value indicates a stronger case against the null hypothesis, suggesting that the observed relationship is unlikely to be a product of random variation.</w:t>
      </w:r>
    </w:p>
    <w:p w14:paraId="176DB57E" w14:textId="77777777" w:rsidR="00B57C84" w:rsidRPr="00B57C84" w:rsidRDefault="00B57C84" w:rsidP="00B57C84">
      <w:pPr>
        <w:jc w:val="both"/>
        <w:rPr>
          <w:rFonts w:ascii="Times New Roman" w:eastAsia="SimSun" w:hAnsi="Times New Roman" w:cs="Times New Roman"/>
          <w:sz w:val="24"/>
          <w:szCs w:val="24"/>
          <w:lang w:val="en-GB"/>
        </w:rPr>
      </w:pPr>
    </w:p>
    <w:p w14:paraId="68367BC8"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Upon conducting the chi-square test, the significance value in this instance is so low that it is displayed as .000. This tiny value essentially signifies that the probability of the observed relationship between income levels and VCR ownership occurring by chance alone is extremely unlikely.</w:t>
      </w:r>
    </w:p>
    <w:p w14:paraId="172667C2" w14:textId="77777777" w:rsidR="00B57C84" w:rsidRPr="00B57C84" w:rsidRDefault="00B57C84" w:rsidP="00B57C84">
      <w:pPr>
        <w:jc w:val="both"/>
        <w:rPr>
          <w:rFonts w:ascii="Times New Roman" w:eastAsia="SimSun" w:hAnsi="Times New Roman" w:cs="Times New Roman"/>
          <w:sz w:val="24"/>
          <w:szCs w:val="24"/>
          <w:lang w:val="en-GB"/>
        </w:rPr>
      </w:pPr>
    </w:p>
    <w:p w14:paraId="0D3792BB"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In practical terms, this result signifies a clear and statistically significant relationship between income levels and VCR ownership within the studied population. It provides robust evidence that individuals' income levels indeed play a role in determining whether they are likely to own a VCR.</w:t>
      </w:r>
    </w:p>
    <w:p w14:paraId="2804D911"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lastRenderedPageBreak/>
        <w:t>With a significance value of .000, we can confidently conclude that the two variables—income levels and VCR ownership—are related. This statistical validation reinforces the earlier observations gleaned from the crosstabulation and percentage analysis.</w:t>
      </w:r>
    </w:p>
    <w:p w14:paraId="0D606BB8" w14:textId="77777777" w:rsidR="00B57C84" w:rsidRPr="00B57C84" w:rsidRDefault="00B57C84" w:rsidP="00B57C84">
      <w:pPr>
        <w:jc w:val="both"/>
        <w:rPr>
          <w:rFonts w:ascii="Times New Roman" w:eastAsia="SimSun" w:hAnsi="Times New Roman" w:cs="Times New Roman"/>
          <w:sz w:val="24"/>
          <w:szCs w:val="24"/>
          <w:lang w:val="en-GB"/>
        </w:rPr>
      </w:pPr>
    </w:p>
    <w:p w14:paraId="2AD059B9" w14:textId="7777777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This newfound clarity opens doors for deeper insights and informed decision-making. Researchers, marketers, or policymakers can now rely on this concrete evidence to develop targeted strategies, allocate resources effectively, or tailor interventions to cater to specific income groups' needs and preferences.</w:t>
      </w:r>
    </w:p>
    <w:p w14:paraId="509917B1" w14:textId="77777777" w:rsidR="00B57C84" w:rsidRPr="00B57C84" w:rsidRDefault="00B57C84" w:rsidP="00B57C84">
      <w:pPr>
        <w:jc w:val="both"/>
        <w:rPr>
          <w:rFonts w:ascii="Times New Roman" w:eastAsia="SimSun" w:hAnsi="Times New Roman" w:cs="Times New Roman"/>
          <w:sz w:val="24"/>
          <w:szCs w:val="24"/>
          <w:lang w:val="en-GB"/>
        </w:rPr>
      </w:pPr>
    </w:p>
    <w:p w14:paraId="1BAB09B8" w14:textId="160ECB47" w:rsidR="00B57C84" w:rsidRPr="00B57C84" w:rsidRDefault="00B57C84" w:rsidP="00B57C84">
      <w:pPr>
        <w:jc w:val="both"/>
        <w:rPr>
          <w:rFonts w:ascii="Times New Roman" w:eastAsia="SimSun" w:hAnsi="Times New Roman" w:cs="Times New Roman"/>
          <w:sz w:val="24"/>
          <w:szCs w:val="24"/>
          <w:lang w:val="en-GB"/>
        </w:rPr>
      </w:pPr>
      <w:r w:rsidRPr="00B57C84">
        <w:rPr>
          <w:rFonts w:ascii="Times New Roman" w:eastAsia="SimSun" w:hAnsi="Times New Roman" w:cs="Times New Roman"/>
          <w:sz w:val="24"/>
          <w:szCs w:val="24"/>
          <w:lang w:val="en-GB"/>
        </w:rPr>
        <w:t>In summary, the remarkably low significance value obtained from the chi-square test serves as a beacon of statistical strength, affirming the significant relationship between income levels and VCR ownership. This insight, backed by robust statistical analysis, empowers stakeholders to make data-driven decisions with confidence and precision.</w:t>
      </w:r>
    </w:p>
    <w:p w14:paraId="0BA09F41" w14:textId="77777777" w:rsidR="00B57C84" w:rsidRPr="00B57C84" w:rsidRDefault="00B57C84" w:rsidP="00B57C84">
      <w:pPr>
        <w:rPr>
          <w:rFonts w:ascii="Calibri" w:eastAsia="SimSun" w:hAnsi="Calibri"/>
          <w:vanish/>
          <w:sz w:val="24"/>
          <w:szCs w:val="24"/>
          <w:lang w:val="en-GB"/>
        </w:rPr>
      </w:pPr>
      <w:r w:rsidRPr="00B57C84">
        <w:rPr>
          <w:rFonts w:ascii="Calibri" w:eastAsia="SimSun" w:hAnsi="Calibri"/>
          <w:vanish/>
          <w:sz w:val="24"/>
          <w:szCs w:val="24"/>
          <w:lang w:val="en-GB"/>
        </w:rPr>
        <w:t>Top of Form</w:t>
      </w:r>
    </w:p>
    <w:p w14:paraId="202FCD21" w14:textId="77777777" w:rsidR="00A41C61" w:rsidRDefault="00A41C61">
      <w:pPr>
        <w:rPr>
          <w:rFonts w:ascii="Times New Roman" w:eastAsia="SimSun" w:hAnsi="Times New Roman" w:cs="Times New Roman"/>
          <w:sz w:val="24"/>
          <w:szCs w:val="24"/>
          <w:lang w:val="en-GB"/>
        </w:rPr>
      </w:pPr>
    </w:p>
    <w:p w14:paraId="0B114B10" w14:textId="77777777" w:rsidR="00A41C61" w:rsidRPr="0040728C" w:rsidRDefault="00A41C61" w:rsidP="00A41C61">
      <w:pPr>
        <w:rPr>
          <w:rFonts w:ascii="Times New Roman" w:hAnsi="Times New Roman"/>
          <w:b/>
          <w:bCs/>
          <w:sz w:val="24"/>
        </w:rPr>
      </w:pPr>
      <w:r w:rsidRPr="0040728C">
        <w:rPr>
          <w:rFonts w:ascii="Times New Roman" w:hAnsi="Times New Roman"/>
          <w:b/>
          <w:bCs/>
          <w:sz w:val="24"/>
        </w:rPr>
        <w:t>8.0. Control variable.</w:t>
      </w:r>
    </w:p>
    <w:p w14:paraId="317951B2" w14:textId="77777777" w:rsidR="00A41C61" w:rsidRDefault="00A41C61" w:rsidP="00A41C61">
      <w:pPr>
        <w:rPr>
          <w:rFonts w:ascii="SimSun" w:hAnsi="SimSun" w:cs="SimSun"/>
          <w:sz w:val="24"/>
        </w:rPr>
      </w:pPr>
    </w:p>
    <w:p w14:paraId="163FEBF0" w14:textId="77777777" w:rsidR="00A41C61" w:rsidRPr="0040728C" w:rsidRDefault="00A41C61" w:rsidP="00A41C61">
      <w:pPr>
        <w:jc w:val="both"/>
        <w:rPr>
          <w:rFonts w:ascii="Times New Roman" w:hAnsi="Times New Roman"/>
          <w:sz w:val="24"/>
        </w:rPr>
      </w:pPr>
      <w:r w:rsidRPr="0040728C">
        <w:rPr>
          <w:rFonts w:ascii="Times New Roman" w:hAnsi="Times New Roman"/>
          <w:sz w:val="24"/>
        </w:rPr>
        <w:t>In statistical analysis, the variable often referred to as the "control variable" plays a pivotal role in understanding the nuanced relationships between the main variables of interest. Sometimes also known as a "covariate," this variable helps researchers delve deeper into the effects of the primary variables under investigation.</w:t>
      </w:r>
    </w:p>
    <w:p w14:paraId="2D4B1A99" w14:textId="77777777" w:rsidR="00A41C61" w:rsidRPr="0040728C" w:rsidRDefault="00A41C61" w:rsidP="00A41C61">
      <w:pPr>
        <w:jc w:val="both"/>
        <w:rPr>
          <w:rFonts w:ascii="Times New Roman" w:hAnsi="Times New Roman"/>
          <w:sz w:val="24"/>
        </w:rPr>
      </w:pPr>
    </w:p>
    <w:p w14:paraId="35483334" w14:textId="77777777" w:rsidR="00A41C61" w:rsidRPr="0040728C" w:rsidRDefault="00A41C61" w:rsidP="00A41C61">
      <w:pPr>
        <w:jc w:val="both"/>
        <w:rPr>
          <w:rFonts w:ascii="Times New Roman" w:hAnsi="Times New Roman"/>
          <w:sz w:val="24"/>
        </w:rPr>
      </w:pPr>
      <w:r w:rsidRPr="0040728C">
        <w:rPr>
          <w:rFonts w:ascii="Times New Roman" w:hAnsi="Times New Roman"/>
          <w:sz w:val="24"/>
        </w:rPr>
        <w:t>The control variable acts as a moderator, revealing how the relationship between the row and column variables changes or varies when the effects of this third variable are considered. By "controlling" for the influence of the control variable, analysts can isolate and examine the direct relationship between the primary variables of interest.</w:t>
      </w:r>
    </w:p>
    <w:p w14:paraId="2DE120A4" w14:textId="77777777" w:rsidR="00A41C61" w:rsidRPr="0040728C" w:rsidRDefault="00A41C61" w:rsidP="00A41C61">
      <w:pPr>
        <w:jc w:val="both"/>
        <w:rPr>
          <w:rFonts w:ascii="Times New Roman" w:hAnsi="Times New Roman"/>
          <w:sz w:val="24"/>
        </w:rPr>
      </w:pPr>
    </w:p>
    <w:p w14:paraId="30AE09BF" w14:textId="77777777" w:rsidR="00A41C61" w:rsidRPr="0040728C" w:rsidRDefault="00A41C61" w:rsidP="00A41C61">
      <w:pPr>
        <w:jc w:val="both"/>
        <w:rPr>
          <w:rFonts w:ascii="Times New Roman" w:hAnsi="Times New Roman"/>
          <w:sz w:val="24"/>
        </w:rPr>
      </w:pPr>
      <w:r w:rsidRPr="0040728C">
        <w:rPr>
          <w:rFonts w:ascii="Times New Roman" w:hAnsi="Times New Roman"/>
          <w:sz w:val="24"/>
        </w:rPr>
        <w:t>This approach allows researchers to discern whether the observed relationship between the row and column variables holds true even when the effects of the control variable are considered. Essentially, the control variable serves as a lens through which to view the interaction effects between the primary variables, offering insights into how external factors might impact this relationship.</w:t>
      </w:r>
    </w:p>
    <w:p w14:paraId="1FB8B9E2" w14:textId="77777777" w:rsidR="00A41C61" w:rsidRPr="0040728C" w:rsidRDefault="00A41C61" w:rsidP="00A41C61">
      <w:pPr>
        <w:jc w:val="both"/>
        <w:rPr>
          <w:rFonts w:ascii="Times New Roman" w:hAnsi="Times New Roman"/>
          <w:sz w:val="24"/>
        </w:rPr>
      </w:pPr>
    </w:p>
    <w:p w14:paraId="0CBFD03F" w14:textId="77777777" w:rsidR="00A41C61" w:rsidRPr="0040728C" w:rsidRDefault="00A41C61" w:rsidP="00A41C61">
      <w:pPr>
        <w:jc w:val="both"/>
        <w:rPr>
          <w:rFonts w:ascii="Times New Roman" w:hAnsi="Times New Roman"/>
          <w:sz w:val="24"/>
        </w:rPr>
      </w:pPr>
      <w:r w:rsidRPr="0040728C">
        <w:rPr>
          <w:rFonts w:ascii="Times New Roman" w:hAnsi="Times New Roman"/>
          <w:sz w:val="24"/>
        </w:rPr>
        <w:t>For instance, in the context of the analysis on income levels and VCR ownership, a potential control variable could be demographic factors such as age or geographic location. By controlling for the effects of age, researchers can ascertain whether the relationship between income levels and VCR ownership remains consistent across different age groups.</w:t>
      </w:r>
    </w:p>
    <w:p w14:paraId="35A4BCC1" w14:textId="77777777" w:rsidR="00A41C61" w:rsidRPr="0040728C" w:rsidRDefault="00A41C61" w:rsidP="00A41C61">
      <w:pPr>
        <w:jc w:val="both"/>
        <w:rPr>
          <w:rFonts w:ascii="Times New Roman" w:hAnsi="Times New Roman"/>
          <w:sz w:val="24"/>
        </w:rPr>
      </w:pPr>
    </w:p>
    <w:p w14:paraId="0BEA16FA" w14:textId="77777777" w:rsidR="00A41C61" w:rsidRPr="0040728C" w:rsidRDefault="00A41C61" w:rsidP="00A41C61">
      <w:pPr>
        <w:jc w:val="both"/>
        <w:rPr>
          <w:rFonts w:ascii="Times New Roman" w:hAnsi="Times New Roman"/>
          <w:sz w:val="24"/>
        </w:rPr>
      </w:pPr>
      <w:r w:rsidRPr="0040728C">
        <w:rPr>
          <w:rFonts w:ascii="Times New Roman" w:hAnsi="Times New Roman"/>
          <w:sz w:val="24"/>
        </w:rPr>
        <w:t>In essence, the control variable provides a means to refine and deepen the analysis, offering a more nuanced understanding of the interplay between variables. By accounting for potential confounding factors or external influences, researchers can better isolate and interpret the true relationship of interest.</w:t>
      </w:r>
    </w:p>
    <w:p w14:paraId="2E8026A6" w14:textId="77777777" w:rsidR="00A41C61" w:rsidRPr="0040728C" w:rsidRDefault="00A41C61" w:rsidP="00A41C61">
      <w:pPr>
        <w:jc w:val="both"/>
        <w:rPr>
          <w:rFonts w:ascii="Times New Roman" w:hAnsi="Times New Roman"/>
          <w:sz w:val="24"/>
        </w:rPr>
      </w:pPr>
    </w:p>
    <w:p w14:paraId="05578021" w14:textId="77777777" w:rsidR="00A41C61" w:rsidRPr="00A36CBD" w:rsidRDefault="00A41C61" w:rsidP="00A41C61">
      <w:pPr>
        <w:jc w:val="both"/>
        <w:rPr>
          <w:rFonts w:ascii="Times New Roman" w:hAnsi="Times New Roman" w:cs="Times New Roman"/>
          <w:sz w:val="24"/>
          <w:szCs w:val="24"/>
        </w:rPr>
      </w:pPr>
      <w:r w:rsidRPr="00A36CBD">
        <w:rPr>
          <w:rFonts w:ascii="Times New Roman" w:hAnsi="Times New Roman"/>
          <w:sz w:val="24"/>
          <w:szCs w:val="24"/>
        </w:rPr>
        <w:t xml:space="preserve">Therefore, the inclusion of a control variable in the analysis enriches the study by revealing how the primary variables interact in the presence of this moderating factor. </w:t>
      </w:r>
      <w:r w:rsidRPr="00A36CBD">
        <w:rPr>
          <w:rFonts w:ascii="Times New Roman" w:hAnsi="Times New Roman" w:cs="Times New Roman"/>
          <w:sz w:val="24"/>
          <w:szCs w:val="24"/>
        </w:rPr>
        <w:t>It allows for a more sophisticated exploration of the underlying dynamics, providing valuable insights that might have otherwise remained obscured.</w:t>
      </w:r>
    </w:p>
    <w:p w14:paraId="08DB32F4" w14:textId="77777777" w:rsidR="00A41C61" w:rsidRPr="00A41C61" w:rsidRDefault="00A41C61" w:rsidP="00A41C61">
      <w:pPr>
        <w:jc w:val="both"/>
        <w:rPr>
          <w:rFonts w:ascii="Times New Roman" w:hAnsi="Times New Roman" w:cs="Times New Roman"/>
          <w:sz w:val="18"/>
          <w:szCs w:val="18"/>
        </w:rPr>
      </w:pPr>
    </w:p>
    <w:p w14:paraId="5C3E809F" w14:textId="77777777" w:rsidR="00A41C61" w:rsidRPr="00A41C61" w:rsidRDefault="00A41C61" w:rsidP="00A41C61">
      <w:pPr>
        <w:rPr>
          <w:rFonts w:ascii="Times New Roman" w:hAnsi="Times New Roman" w:cs="Times New Roman"/>
          <w:sz w:val="18"/>
          <w:szCs w:val="18"/>
        </w:rPr>
      </w:pPr>
    </w:p>
    <w:p w14:paraId="64D946A0" w14:textId="77777777" w:rsidR="00A41C61" w:rsidRPr="00A41C61" w:rsidRDefault="00A41C61" w:rsidP="00A41C61">
      <w:pPr>
        <w:rPr>
          <w:rFonts w:ascii="Times New Roman" w:hAnsi="Times New Roman" w:cs="Times New Roman"/>
          <w:sz w:val="18"/>
          <w:szCs w:val="18"/>
        </w:rPr>
      </w:pPr>
    </w:p>
    <w:p w14:paraId="3A7A4E71" w14:textId="77777777" w:rsidR="00A36CBD" w:rsidRDefault="00A36CBD" w:rsidP="00A36CBD">
      <w:pPr>
        <w:rPr>
          <w:sz w:val="24"/>
        </w:rPr>
      </w:pPr>
    </w:p>
    <w:tbl>
      <w:tblPr>
        <w:tblW w:w="9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510"/>
        <w:gridCol w:w="2509"/>
        <w:gridCol w:w="1191"/>
        <w:gridCol w:w="736"/>
        <w:gridCol w:w="709"/>
        <w:gridCol w:w="850"/>
        <w:gridCol w:w="709"/>
      </w:tblGrid>
      <w:tr w:rsidR="00A36CBD" w14:paraId="489E5EE1" w14:textId="77777777" w:rsidTr="002761F1">
        <w:trPr>
          <w:cantSplit/>
        </w:trPr>
        <w:tc>
          <w:tcPr>
            <w:tcW w:w="9214" w:type="dxa"/>
            <w:gridSpan w:val="7"/>
            <w:tcBorders>
              <w:top w:val="nil"/>
              <w:left w:val="nil"/>
              <w:bottom w:val="nil"/>
              <w:right w:val="nil"/>
              <w:tl2br w:val="nil"/>
              <w:tr2bl w:val="nil"/>
            </w:tcBorders>
            <w:shd w:val="clear" w:color="auto" w:fill="FFFFFF"/>
          </w:tcPr>
          <w:p w14:paraId="012020FE" w14:textId="77777777" w:rsidR="00A36CBD" w:rsidRDefault="00A36CBD" w:rsidP="002761F1">
            <w:pPr>
              <w:spacing w:line="320" w:lineRule="atLeast"/>
              <w:ind w:left="60" w:right="60"/>
              <w:jc w:val="center"/>
              <w:rPr>
                <w:rFonts w:ascii="Arial" w:hAnsi="Arial"/>
                <w:sz w:val="18"/>
              </w:rPr>
            </w:pPr>
            <w:r>
              <w:rPr>
                <w:rFonts w:ascii="Arial" w:hAnsi="Arial"/>
                <w:b/>
                <w:sz w:val="18"/>
              </w:rPr>
              <w:lastRenderedPageBreak/>
              <w:t>Income category in thousands * Owns VCR * Level of education Crosstabulation</w:t>
            </w:r>
          </w:p>
        </w:tc>
      </w:tr>
      <w:tr w:rsidR="00A36CBD" w14:paraId="350778AE" w14:textId="77777777" w:rsidTr="002761F1">
        <w:trPr>
          <w:cantSplit/>
        </w:trPr>
        <w:tc>
          <w:tcPr>
            <w:tcW w:w="6946" w:type="dxa"/>
            <w:gridSpan w:val="4"/>
            <w:vMerge w:val="restart"/>
            <w:tcBorders>
              <w:top w:val="single" w:sz="16" w:space="0" w:color="000000"/>
              <w:left w:val="single" w:sz="16" w:space="0" w:color="000000"/>
              <w:bottom w:val="nil"/>
              <w:right w:val="nil"/>
              <w:tl2br w:val="nil"/>
              <w:tr2bl w:val="nil"/>
            </w:tcBorders>
            <w:shd w:val="clear" w:color="auto" w:fill="FFFFFF"/>
          </w:tcPr>
          <w:p w14:paraId="7EAAB6D3" w14:textId="77777777" w:rsidR="00A36CBD" w:rsidRDefault="00A36CBD" w:rsidP="002761F1">
            <w:pPr>
              <w:spacing w:line="320" w:lineRule="atLeast"/>
              <w:ind w:left="60" w:right="60"/>
              <w:rPr>
                <w:rFonts w:ascii="Arial" w:hAnsi="Arial"/>
                <w:sz w:val="18"/>
              </w:rPr>
            </w:pPr>
            <w:r>
              <w:rPr>
                <w:rFonts w:ascii="Arial" w:hAnsi="Arial"/>
                <w:sz w:val="18"/>
              </w:rPr>
              <w:t>Level of education</w:t>
            </w:r>
          </w:p>
        </w:tc>
        <w:tc>
          <w:tcPr>
            <w:tcW w:w="1559"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tcPr>
          <w:p w14:paraId="7634C731" w14:textId="77777777" w:rsidR="00A36CBD" w:rsidRDefault="00A36CBD" w:rsidP="002761F1">
            <w:pPr>
              <w:spacing w:line="320" w:lineRule="atLeast"/>
              <w:ind w:left="60" w:right="60"/>
              <w:jc w:val="center"/>
              <w:rPr>
                <w:rFonts w:ascii="Arial" w:hAnsi="Arial"/>
                <w:sz w:val="18"/>
              </w:rPr>
            </w:pPr>
            <w:r>
              <w:rPr>
                <w:rFonts w:ascii="Arial" w:hAnsi="Arial"/>
                <w:sz w:val="18"/>
              </w:rPr>
              <w:t>Owns VCR</w:t>
            </w:r>
          </w:p>
        </w:tc>
        <w:tc>
          <w:tcPr>
            <w:tcW w:w="709"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tcPr>
          <w:p w14:paraId="61CA9D75" w14:textId="77777777" w:rsidR="00A36CBD" w:rsidRDefault="00A36CBD" w:rsidP="002761F1">
            <w:pPr>
              <w:spacing w:line="320" w:lineRule="atLeast"/>
              <w:ind w:left="60" w:right="60"/>
              <w:jc w:val="center"/>
              <w:rPr>
                <w:rFonts w:ascii="Arial" w:hAnsi="Arial"/>
                <w:sz w:val="18"/>
              </w:rPr>
            </w:pPr>
            <w:r>
              <w:rPr>
                <w:rFonts w:ascii="Arial" w:hAnsi="Arial"/>
                <w:sz w:val="18"/>
              </w:rPr>
              <w:t>Total</w:t>
            </w:r>
          </w:p>
        </w:tc>
      </w:tr>
      <w:tr w:rsidR="00A36CBD" w14:paraId="7B42C494" w14:textId="77777777" w:rsidTr="002761F1">
        <w:trPr>
          <w:cantSplit/>
        </w:trPr>
        <w:tc>
          <w:tcPr>
            <w:tcW w:w="6946" w:type="dxa"/>
            <w:gridSpan w:val="4"/>
            <w:vMerge/>
            <w:tcBorders>
              <w:top w:val="single" w:sz="16" w:space="0" w:color="000000"/>
              <w:left w:val="single" w:sz="16" w:space="0" w:color="000000"/>
              <w:bottom w:val="nil"/>
              <w:right w:val="nil"/>
              <w:tl2br w:val="nil"/>
              <w:tr2bl w:val="nil"/>
            </w:tcBorders>
            <w:shd w:val="clear" w:color="auto" w:fill="FFFFFF"/>
          </w:tcPr>
          <w:p w14:paraId="7AAD899E" w14:textId="77777777" w:rsidR="00A36CBD" w:rsidRDefault="00A36CBD" w:rsidP="002761F1">
            <w:pPr>
              <w:rPr>
                <w:rFonts w:ascii="Arial" w:hAnsi="Arial"/>
                <w:sz w:val="18"/>
              </w:rPr>
            </w:pPr>
          </w:p>
        </w:tc>
        <w:tc>
          <w:tcPr>
            <w:tcW w:w="709" w:type="dxa"/>
            <w:tcBorders>
              <w:top w:val="single" w:sz="8" w:space="0" w:color="000000"/>
              <w:left w:val="single" w:sz="16" w:space="0" w:color="000000"/>
              <w:bottom w:val="single" w:sz="16" w:space="0" w:color="000000"/>
              <w:right w:val="single" w:sz="8" w:space="0" w:color="000000"/>
              <w:tl2br w:val="nil"/>
              <w:tr2bl w:val="nil"/>
            </w:tcBorders>
            <w:shd w:val="clear" w:color="auto" w:fill="FFFFFF"/>
          </w:tcPr>
          <w:p w14:paraId="6E856D81" w14:textId="77777777" w:rsidR="00A36CBD" w:rsidRDefault="00A36CBD" w:rsidP="002761F1">
            <w:pPr>
              <w:spacing w:line="320" w:lineRule="atLeast"/>
              <w:ind w:left="60" w:right="60"/>
              <w:jc w:val="center"/>
              <w:rPr>
                <w:rFonts w:ascii="Arial" w:hAnsi="Arial"/>
                <w:sz w:val="18"/>
              </w:rPr>
            </w:pPr>
            <w:r>
              <w:rPr>
                <w:rFonts w:ascii="Arial" w:hAnsi="Arial"/>
                <w:sz w:val="18"/>
              </w:rPr>
              <w:t>No</w:t>
            </w:r>
          </w:p>
        </w:tc>
        <w:tc>
          <w:tcPr>
            <w:tcW w:w="850" w:type="dxa"/>
            <w:tcBorders>
              <w:top w:val="single" w:sz="8" w:space="0" w:color="000000"/>
              <w:left w:val="single" w:sz="8" w:space="0" w:color="000000"/>
              <w:bottom w:val="single" w:sz="16" w:space="0" w:color="000000"/>
              <w:right w:val="single" w:sz="8" w:space="0" w:color="000000"/>
              <w:tl2br w:val="nil"/>
              <w:tr2bl w:val="nil"/>
            </w:tcBorders>
            <w:shd w:val="clear" w:color="auto" w:fill="FFFFFF"/>
          </w:tcPr>
          <w:p w14:paraId="0FC6D87D" w14:textId="77777777" w:rsidR="00A36CBD" w:rsidRDefault="00A36CBD" w:rsidP="002761F1">
            <w:pPr>
              <w:spacing w:line="320" w:lineRule="atLeast"/>
              <w:ind w:left="60" w:right="60"/>
              <w:jc w:val="center"/>
              <w:rPr>
                <w:rFonts w:ascii="Arial" w:hAnsi="Arial"/>
                <w:sz w:val="18"/>
              </w:rPr>
            </w:pPr>
            <w:r>
              <w:rPr>
                <w:rFonts w:ascii="Arial" w:hAnsi="Arial"/>
                <w:sz w:val="18"/>
              </w:rPr>
              <w:t>Yes</w:t>
            </w:r>
          </w:p>
        </w:tc>
        <w:tc>
          <w:tcPr>
            <w:tcW w:w="709"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tcPr>
          <w:p w14:paraId="5A6BF92B" w14:textId="77777777" w:rsidR="00A36CBD" w:rsidRDefault="00A36CBD" w:rsidP="002761F1">
            <w:pPr>
              <w:rPr>
                <w:rFonts w:ascii="Arial" w:hAnsi="Arial"/>
                <w:sz w:val="18"/>
              </w:rPr>
            </w:pPr>
          </w:p>
        </w:tc>
      </w:tr>
      <w:tr w:rsidR="00A36CBD" w14:paraId="2F797DAC" w14:textId="77777777" w:rsidTr="002761F1">
        <w:trPr>
          <w:cantSplit/>
        </w:trPr>
        <w:tc>
          <w:tcPr>
            <w:tcW w:w="2510" w:type="dxa"/>
            <w:vMerge w:val="restart"/>
            <w:tcBorders>
              <w:top w:val="single" w:sz="16" w:space="0" w:color="000000"/>
              <w:left w:val="single" w:sz="16" w:space="0" w:color="000000"/>
              <w:bottom w:val="nil"/>
              <w:right w:val="nil"/>
              <w:tl2br w:val="nil"/>
              <w:tr2bl w:val="nil"/>
            </w:tcBorders>
            <w:shd w:val="clear" w:color="auto" w:fill="FFFFFF"/>
            <w:vAlign w:val="center"/>
          </w:tcPr>
          <w:p w14:paraId="4B7C596D" w14:textId="77777777" w:rsidR="00A36CBD" w:rsidRDefault="00A36CBD" w:rsidP="002761F1">
            <w:pPr>
              <w:spacing w:line="320" w:lineRule="atLeast"/>
              <w:ind w:left="60" w:right="60"/>
              <w:rPr>
                <w:rFonts w:ascii="Arial" w:hAnsi="Arial"/>
                <w:sz w:val="18"/>
              </w:rPr>
            </w:pPr>
            <w:r>
              <w:rPr>
                <w:rFonts w:ascii="Arial" w:hAnsi="Arial"/>
                <w:sz w:val="18"/>
              </w:rPr>
              <w:t>Did not complete high school</w:t>
            </w:r>
          </w:p>
        </w:tc>
        <w:tc>
          <w:tcPr>
            <w:tcW w:w="2509" w:type="dxa"/>
            <w:vMerge w:val="restart"/>
            <w:tcBorders>
              <w:top w:val="single" w:sz="16" w:space="0" w:color="000000"/>
              <w:left w:val="nil"/>
              <w:bottom w:val="nil"/>
              <w:right w:val="nil"/>
              <w:tl2br w:val="nil"/>
              <w:tr2bl w:val="nil"/>
            </w:tcBorders>
            <w:shd w:val="clear" w:color="auto" w:fill="FFFFFF"/>
            <w:vAlign w:val="center"/>
          </w:tcPr>
          <w:p w14:paraId="7C7F8795" w14:textId="77777777" w:rsidR="00A36CBD" w:rsidRDefault="00A36CBD" w:rsidP="002761F1">
            <w:pPr>
              <w:spacing w:line="320" w:lineRule="atLeast"/>
              <w:ind w:left="60" w:right="60"/>
              <w:rPr>
                <w:rFonts w:ascii="Arial" w:hAnsi="Arial"/>
                <w:sz w:val="18"/>
              </w:rPr>
            </w:pPr>
            <w:r>
              <w:rPr>
                <w:rFonts w:ascii="Arial" w:hAnsi="Arial"/>
                <w:sz w:val="18"/>
              </w:rPr>
              <w:t>Income category in thousands</w:t>
            </w:r>
          </w:p>
        </w:tc>
        <w:tc>
          <w:tcPr>
            <w:tcW w:w="1191" w:type="dxa"/>
            <w:vMerge w:val="restart"/>
            <w:tcBorders>
              <w:top w:val="single" w:sz="16" w:space="0" w:color="000000"/>
              <w:left w:val="nil"/>
              <w:bottom w:val="nil"/>
              <w:right w:val="nil"/>
              <w:tl2br w:val="nil"/>
              <w:tr2bl w:val="nil"/>
            </w:tcBorders>
            <w:shd w:val="clear" w:color="auto" w:fill="FFFFFF"/>
            <w:vAlign w:val="center"/>
          </w:tcPr>
          <w:p w14:paraId="438148EE" w14:textId="77777777" w:rsidR="00A36CBD" w:rsidRDefault="00A36CBD" w:rsidP="002761F1">
            <w:pPr>
              <w:spacing w:line="320" w:lineRule="atLeast"/>
              <w:ind w:left="60" w:right="60"/>
              <w:rPr>
                <w:rFonts w:ascii="Arial" w:hAnsi="Arial"/>
                <w:sz w:val="18"/>
              </w:rPr>
            </w:pPr>
            <w:r>
              <w:rPr>
                <w:rFonts w:ascii="Arial" w:hAnsi="Arial"/>
                <w:sz w:val="18"/>
              </w:rPr>
              <w:t>Under $25</w:t>
            </w:r>
          </w:p>
        </w:tc>
        <w:tc>
          <w:tcPr>
            <w:tcW w:w="736" w:type="dxa"/>
            <w:tcBorders>
              <w:top w:val="single" w:sz="16" w:space="0" w:color="000000"/>
              <w:left w:val="nil"/>
              <w:bottom w:val="nil"/>
              <w:right w:val="single" w:sz="16" w:space="0" w:color="000000"/>
              <w:tl2br w:val="nil"/>
              <w:tr2bl w:val="nil"/>
            </w:tcBorders>
            <w:shd w:val="clear" w:color="auto" w:fill="FFFFFF"/>
            <w:vAlign w:val="center"/>
          </w:tcPr>
          <w:p w14:paraId="51D79838"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single" w:sz="16" w:space="0" w:color="000000"/>
              <w:left w:val="single" w:sz="16" w:space="0" w:color="000000"/>
              <w:bottom w:val="nil"/>
              <w:right w:val="single" w:sz="8" w:space="0" w:color="000000"/>
              <w:tl2br w:val="nil"/>
              <w:tr2bl w:val="nil"/>
            </w:tcBorders>
            <w:shd w:val="clear" w:color="auto" w:fill="FFFFFF"/>
            <w:vAlign w:val="center"/>
          </w:tcPr>
          <w:p w14:paraId="56F77A4E" w14:textId="77777777" w:rsidR="00A36CBD" w:rsidRDefault="00A36CBD" w:rsidP="002761F1">
            <w:pPr>
              <w:spacing w:line="320" w:lineRule="atLeast"/>
              <w:ind w:left="60" w:right="60"/>
              <w:jc w:val="right"/>
              <w:rPr>
                <w:rFonts w:ascii="Arial" w:hAnsi="Arial"/>
                <w:sz w:val="18"/>
              </w:rPr>
            </w:pPr>
            <w:r>
              <w:rPr>
                <w:rFonts w:ascii="Arial" w:hAnsi="Arial"/>
                <w:sz w:val="18"/>
              </w:rPr>
              <w:t>46</w:t>
            </w:r>
          </w:p>
        </w:tc>
        <w:tc>
          <w:tcPr>
            <w:tcW w:w="850" w:type="dxa"/>
            <w:tcBorders>
              <w:top w:val="single" w:sz="16" w:space="0" w:color="000000"/>
              <w:left w:val="single" w:sz="8" w:space="0" w:color="000000"/>
              <w:bottom w:val="nil"/>
              <w:right w:val="single" w:sz="8" w:space="0" w:color="000000"/>
              <w:tl2br w:val="nil"/>
              <w:tr2bl w:val="nil"/>
            </w:tcBorders>
            <w:shd w:val="clear" w:color="auto" w:fill="FFFFFF"/>
            <w:vAlign w:val="center"/>
          </w:tcPr>
          <w:p w14:paraId="6F1BD3A1" w14:textId="77777777" w:rsidR="00A36CBD" w:rsidRDefault="00A36CBD" w:rsidP="002761F1">
            <w:pPr>
              <w:spacing w:line="320" w:lineRule="atLeast"/>
              <w:ind w:left="60" w:right="60"/>
              <w:jc w:val="right"/>
              <w:rPr>
                <w:rFonts w:ascii="Arial" w:hAnsi="Arial"/>
                <w:sz w:val="18"/>
              </w:rPr>
            </w:pPr>
            <w:r>
              <w:rPr>
                <w:rFonts w:ascii="Arial" w:hAnsi="Arial"/>
                <w:sz w:val="18"/>
              </w:rPr>
              <w:t>276</w:t>
            </w:r>
          </w:p>
        </w:tc>
        <w:tc>
          <w:tcPr>
            <w:tcW w:w="709" w:type="dxa"/>
            <w:tcBorders>
              <w:top w:val="single" w:sz="16" w:space="0" w:color="000000"/>
              <w:left w:val="single" w:sz="8" w:space="0" w:color="000000"/>
              <w:bottom w:val="nil"/>
              <w:right w:val="single" w:sz="16" w:space="0" w:color="000000"/>
              <w:tl2br w:val="nil"/>
              <w:tr2bl w:val="nil"/>
            </w:tcBorders>
            <w:shd w:val="clear" w:color="auto" w:fill="FFFFFF"/>
            <w:vAlign w:val="center"/>
          </w:tcPr>
          <w:p w14:paraId="1992CAC4" w14:textId="77777777" w:rsidR="00A36CBD" w:rsidRDefault="00A36CBD" w:rsidP="002761F1">
            <w:pPr>
              <w:spacing w:line="320" w:lineRule="atLeast"/>
              <w:ind w:left="60" w:right="60"/>
              <w:jc w:val="right"/>
              <w:rPr>
                <w:rFonts w:ascii="Arial" w:hAnsi="Arial"/>
                <w:sz w:val="18"/>
              </w:rPr>
            </w:pPr>
            <w:r>
              <w:rPr>
                <w:rFonts w:ascii="Arial" w:hAnsi="Arial"/>
                <w:sz w:val="18"/>
              </w:rPr>
              <w:t>322</w:t>
            </w:r>
          </w:p>
        </w:tc>
      </w:tr>
      <w:tr w:rsidR="00A36CBD" w14:paraId="51EC8D8A" w14:textId="77777777" w:rsidTr="002761F1">
        <w:trPr>
          <w:cantSplit/>
        </w:trPr>
        <w:tc>
          <w:tcPr>
            <w:tcW w:w="2510" w:type="dxa"/>
            <w:vMerge/>
            <w:tcBorders>
              <w:top w:val="single" w:sz="16" w:space="0" w:color="000000"/>
              <w:left w:val="single" w:sz="16" w:space="0" w:color="000000"/>
              <w:bottom w:val="nil"/>
              <w:right w:val="nil"/>
              <w:tl2br w:val="nil"/>
              <w:tr2bl w:val="nil"/>
            </w:tcBorders>
            <w:shd w:val="clear" w:color="auto" w:fill="FFFFFF"/>
            <w:vAlign w:val="center"/>
          </w:tcPr>
          <w:p w14:paraId="62D6F95D" w14:textId="77777777" w:rsidR="00A36CBD" w:rsidRDefault="00A36CBD" w:rsidP="002761F1">
            <w:pPr>
              <w:rPr>
                <w:rFonts w:ascii="Arial" w:hAnsi="Arial"/>
                <w:sz w:val="18"/>
              </w:rPr>
            </w:pPr>
          </w:p>
        </w:tc>
        <w:tc>
          <w:tcPr>
            <w:tcW w:w="2509" w:type="dxa"/>
            <w:vMerge/>
            <w:tcBorders>
              <w:top w:val="single" w:sz="16" w:space="0" w:color="000000"/>
              <w:left w:val="nil"/>
              <w:bottom w:val="nil"/>
              <w:right w:val="nil"/>
              <w:tl2br w:val="nil"/>
              <w:tr2bl w:val="nil"/>
            </w:tcBorders>
            <w:shd w:val="clear" w:color="auto" w:fill="FFFFFF"/>
            <w:vAlign w:val="center"/>
          </w:tcPr>
          <w:p w14:paraId="6C29425E" w14:textId="77777777" w:rsidR="00A36CBD" w:rsidRDefault="00A36CBD" w:rsidP="002761F1">
            <w:pPr>
              <w:rPr>
                <w:rFonts w:ascii="Arial" w:hAnsi="Arial"/>
                <w:sz w:val="18"/>
              </w:rPr>
            </w:pPr>
          </w:p>
        </w:tc>
        <w:tc>
          <w:tcPr>
            <w:tcW w:w="1191" w:type="dxa"/>
            <w:vMerge/>
            <w:tcBorders>
              <w:top w:val="single" w:sz="16" w:space="0" w:color="000000"/>
              <w:left w:val="nil"/>
              <w:bottom w:val="nil"/>
              <w:right w:val="nil"/>
              <w:tl2br w:val="nil"/>
              <w:tr2bl w:val="nil"/>
            </w:tcBorders>
            <w:shd w:val="clear" w:color="auto" w:fill="FFFFFF"/>
            <w:vAlign w:val="center"/>
          </w:tcPr>
          <w:p w14:paraId="05E40B56"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18938709"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6EB01EDC" w14:textId="77777777" w:rsidR="00A36CBD" w:rsidRDefault="00A36CBD" w:rsidP="002761F1">
            <w:pPr>
              <w:spacing w:line="320" w:lineRule="atLeast"/>
              <w:ind w:left="60" w:right="60"/>
              <w:jc w:val="right"/>
              <w:rPr>
                <w:rFonts w:ascii="Arial" w:hAnsi="Arial"/>
                <w:sz w:val="18"/>
              </w:rPr>
            </w:pPr>
            <w:r>
              <w:rPr>
                <w:rFonts w:ascii="Arial" w:hAnsi="Arial"/>
                <w:sz w:val="18"/>
              </w:rPr>
              <w:t>3.3%</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759CDFC5" w14:textId="77777777" w:rsidR="00A36CBD" w:rsidRDefault="00A36CBD" w:rsidP="002761F1">
            <w:pPr>
              <w:spacing w:line="320" w:lineRule="atLeast"/>
              <w:ind w:left="60" w:right="60"/>
              <w:jc w:val="right"/>
              <w:rPr>
                <w:rFonts w:ascii="Arial" w:hAnsi="Arial"/>
                <w:sz w:val="18"/>
              </w:rPr>
            </w:pPr>
            <w:r>
              <w:rPr>
                <w:rFonts w:ascii="Arial" w:hAnsi="Arial"/>
                <w:sz w:val="18"/>
              </w:rPr>
              <w:t>19.9%</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1E418087" w14:textId="77777777" w:rsidR="00A36CBD" w:rsidRDefault="00A36CBD" w:rsidP="002761F1">
            <w:pPr>
              <w:spacing w:line="320" w:lineRule="atLeast"/>
              <w:ind w:left="60" w:right="60"/>
              <w:jc w:val="right"/>
              <w:rPr>
                <w:rFonts w:ascii="Arial" w:hAnsi="Arial"/>
                <w:sz w:val="18"/>
              </w:rPr>
            </w:pPr>
            <w:r>
              <w:rPr>
                <w:rFonts w:ascii="Arial" w:hAnsi="Arial"/>
                <w:sz w:val="18"/>
              </w:rPr>
              <w:t>23.2%</w:t>
            </w:r>
          </w:p>
        </w:tc>
      </w:tr>
      <w:tr w:rsidR="00A36CBD" w14:paraId="26DB6147" w14:textId="77777777" w:rsidTr="002761F1">
        <w:trPr>
          <w:cantSplit/>
        </w:trPr>
        <w:tc>
          <w:tcPr>
            <w:tcW w:w="2510" w:type="dxa"/>
            <w:vMerge/>
            <w:tcBorders>
              <w:top w:val="single" w:sz="16" w:space="0" w:color="000000"/>
              <w:left w:val="single" w:sz="16" w:space="0" w:color="000000"/>
              <w:bottom w:val="nil"/>
              <w:right w:val="nil"/>
              <w:tl2br w:val="nil"/>
              <w:tr2bl w:val="nil"/>
            </w:tcBorders>
            <w:shd w:val="clear" w:color="auto" w:fill="FFFFFF"/>
            <w:vAlign w:val="center"/>
          </w:tcPr>
          <w:p w14:paraId="7AFEC072" w14:textId="77777777" w:rsidR="00A36CBD" w:rsidRDefault="00A36CBD" w:rsidP="002761F1">
            <w:pPr>
              <w:rPr>
                <w:rFonts w:ascii="Arial" w:hAnsi="Arial"/>
                <w:sz w:val="18"/>
              </w:rPr>
            </w:pPr>
          </w:p>
        </w:tc>
        <w:tc>
          <w:tcPr>
            <w:tcW w:w="2509" w:type="dxa"/>
            <w:vMerge/>
            <w:tcBorders>
              <w:top w:val="single" w:sz="16" w:space="0" w:color="000000"/>
              <w:left w:val="nil"/>
              <w:bottom w:val="nil"/>
              <w:right w:val="nil"/>
              <w:tl2br w:val="nil"/>
              <w:tr2bl w:val="nil"/>
            </w:tcBorders>
            <w:shd w:val="clear" w:color="auto" w:fill="FFFFFF"/>
            <w:vAlign w:val="center"/>
          </w:tcPr>
          <w:p w14:paraId="1A29C309"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4F2C0038" w14:textId="77777777" w:rsidR="00A36CBD" w:rsidRDefault="00A36CBD" w:rsidP="002761F1">
            <w:pPr>
              <w:spacing w:line="320" w:lineRule="atLeast"/>
              <w:ind w:left="60" w:right="60"/>
              <w:rPr>
                <w:rFonts w:ascii="Arial" w:hAnsi="Arial"/>
                <w:sz w:val="18"/>
              </w:rPr>
            </w:pPr>
            <w:r>
              <w:rPr>
                <w:rFonts w:ascii="Arial" w:hAnsi="Arial"/>
                <w:sz w:val="18"/>
              </w:rPr>
              <w:t>$25 - $49</w:t>
            </w:r>
          </w:p>
        </w:tc>
        <w:tc>
          <w:tcPr>
            <w:tcW w:w="736" w:type="dxa"/>
            <w:tcBorders>
              <w:top w:val="nil"/>
              <w:left w:val="nil"/>
              <w:bottom w:val="nil"/>
              <w:right w:val="single" w:sz="16" w:space="0" w:color="000000"/>
              <w:tl2br w:val="nil"/>
              <w:tr2bl w:val="nil"/>
            </w:tcBorders>
            <w:shd w:val="clear" w:color="auto" w:fill="FFFFFF"/>
            <w:vAlign w:val="center"/>
          </w:tcPr>
          <w:p w14:paraId="661136EA"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3D748F4B" w14:textId="77777777" w:rsidR="00A36CBD" w:rsidRDefault="00A36CBD" w:rsidP="002761F1">
            <w:pPr>
              <w:spacing w:line="320" w:lineRule="atLeast"/>
              <w:ind w:left="60" w:right="60"/>
              <w:jc w:val="right"/>
              <w:rPr>
                <w:rFonts w:ascii="Arial" w:hAnsi="Arial"/>
                <w:sz w:val="18"/>
              </w:rPr>
            </w:pPr>
            <w:r>
              <w:rPr>
                <w:rFonts w:ascii="Arial" w:hAnsi="Arial"/>
                <w:sz w:val="18"/>
              </w:rPr>
              <w:t>12</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3BA9F362" w14:textId="77777777" w:rsidR="00A36CBD" w:rsidRDefault="00A36CBD" w:rsidP="002761F1">
            <w:pPr>
              <w:spacing w:line="320" w:lineRule="atLeast"/>
              <w:ind w:left="60" w:right="60"/>
              <w:jc w:val="right"/>
              <w:rPr>
                <w:rFonts w:ascii="Arial" w:hAnsi="Arial"/>
                <w:sz w:val="18"/>
              </w:rPr>
            </w:pPr>
            <w:r>
              <w:rPr>
                <w:rFonts w:ascii="Arial" w:hAnsi="Arial"/>
                <w:sz w:val="18"/>
              </w:rPr>
              <w:t>525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01EAC6DB" w14:textId="77777777" w:rsidR="00A36CBD" w:rsidRDefault="00A36CBD" w:rsidP="002761F1">
            <w:pPr>
              <w:spacing w:line="320" w:lineRule="atLeast"/>
              <w:ind w:left="60" w:right="60"/>
              <w:jc w:val="right"/>
              <w:rPr>
                <w:rFonts w:ascii="Arial" w:hAnsi="Arial"/>
                <w:sz w:val="18"/>
              </w:rPr>
            </w:pPr>
            <w:r>
              <w:rPr>
                <w:rFonts w:ascii="Arial" w:hAnsi="Arial"/>
                <w:sz w:val="18"/>
              </w:rPr>
              <w:t>537</w:t>
            </w:r>
          </w:p>
        </w:tc>
      </w:tr>
      <w:tr w:rsidR="00A36CBD" w14:paraId="2820666B" w14:textId="77777777" w:rsidTr="002761F1">
        <w:trPr>
          <w:cantSplit/>
        </w:trPr>
        <w:tc>
          <w:tcPr>
            <w:tcW w:w="2510" w:type="dxa"/>
            <w:vMerge/>
            <w:tcBorders>
              <w:top w:val="single" w:sz="16" w:space="0" w:color="000000"/>
              <w:left w:val="single" w:sz="16" w:space="0" w:color="000000"/>
              <w:bottom w:val="nil"/>
              <w:right w:val="nil"/>
              <w:tl2br w:val="nil"/>
              <w:tr2bl w:val="nil"/>
            </w:tcBorders>
            <w:shd w:val="clear" w:color="auto" w:fill="FFFFFF"/>
            <w:vAlign w:val="center"/>
          </w:tcPr>
          <w:p w14:paraId="492FB098" w14:textId="77777777" w:rsidR="00A36CBD" w:rsidRDefault="00A36CBD" w:rsidP="002761F1">
            <w:pPr>
              <w:rPr>
                <w:rFonts w:ascii="Arial" w:hAnsi="Arial"/>
                <w:sz w:val="18"/>
              </w:rPr>
            </w:pPr>
          </w:p>
        </w:tc>
        <w:tc>
          <w:tcPr>
            <w:tcW w:w="2509" w:type="dxa"/>
            <w:vMerge/>
            <w:tcBorders>
              <w:top w:val="single" w:sz="16" w:space="0" w:color="000000"/>
              <w:left w:val="nil"/>
              <w:bottom w:val="nil"/>
              <w:right w:val="nil"/>
              <w:tl2br w:val="nil"/>
              <w:tr2bl w:val="nil"/>
            </w:tcBorders>
            <w:shd w:val="clear" w:color="auto" w:fill="FFFFFF"/>
            <w:vAlign w:val="center"/>
          </w:tcPr>
          <w:p w14:paraId="459692DB"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3C8CBB05"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7DEF7206"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65F64DC2" w14:textId="77777777" w:rsidR="00A36CBD" w:rsidRDefault="00A36CBD" w:rsidP="002761F1">
            <w:pPr>
              <w:spacing w:line="320" w:lineRule="atLeast"/>
              <w:ind w:left="60" w:right="60"/>
              <w:jc w:val="right"/>
              <w:rPr>
                <w:rFonts w:ascii="Arial" w:hAnsi="Arial"/>
                <w:sz w:val="18"/>
              </w:rPr>
            </w:pPr>
            <w:r>
              <w:rPr>
                <w:rFonts w:ascii="Arial" w:hAnsi="Arial"/>
                <w:sz w:val="18"/>
              </w:rPr>
              <w:t>0.9%</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3511F5CD" w14:textId="77777777" w:rsidR="00A36CBD" w:rsidRDefault="00A36CBD" w:rsidP="002761F1">
            <w:pPr>
              <w:spacing w:line="320" w:lineRule="atLeast"/>
              <w:ind w:left="60" w:right="60"/>
              <w:jc w:val="right"/>
              <w:rPr>
                <w:rFonts w:ascii="Arial" w:hAnsi="Arial"/>
                <w:sz w:val="18"/>
              </w:rPr>
            </w:pPr>
            <w:r>
              <w:rPr>
                <w:rFonts w:ascii="Arial" w:hAnsi="Arial"/>
                <w:sz w:val="18"/>
              </w:rPr>
              <w:t>37.8%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0D0F89A6" w14:textId="77777777" w:rsidR="00A36CBD" w:rsidRDefault="00A36CBD" w:rsidP="002761F1">
            <w:pPr>
              <w:spacing w:line="320" w:lineRule="atLeast"/>
              <w:ind w:left="60" w:right="60"/>
              <w:jc w:val="right"/>
              <w:rPr>
                <w:rFonts w:ascii="Arial" w:hAnsi="Arial"/>
                <w:sz w:val="18"/>
              </w:rPr>
            </w:pPr>
            <w:r>
              <w:rPr>
                <w:rFonts w:ascii="Arial" w:hAnsi="Arial"/>
                <w:sz w:val="18"/>
              </w:rPr>
              <w:t>38.6%</w:t>
            </w:r>
          </w:p>
        </w:tc>
      </w:tr>
      <w:tr w:rsidR="00A36CBD" w14:paraId="2544FC52" w14:textId="77777777" w:rsidTr="002761F1">
        <w:trPr>
          <w:cantSplit/>
        </w:trPr>
        <w:tc>
          <w:tcPr>
            <w:tcW w:w="2510" w:type="dxa"/>
            <w:vMerge/>
            <w:tcBorders>
              <w:top w:val="single" w:sz="16" w:space="0" w:color="000000"/>
              <w:left w:val="single" w:sz="16" w:space="0" w:color="000000"/>
              <w:bottom w:val="nil"/>
              <w:right w:val="nil"/>
              <w:tl2br w:val="nil"/>
              <w:tr2bl w:val="nil"/>
            </w:tcBorders>
            <w:shd w:val="clear" w:color="auto" w:fill="FFFFFF"/>
            <w:vAlign w:val="center"/>
          </w:tcPr>
          <w:p w14:paraId="7E05EACA" w14:textId="77777777" w:rsidR="00A36CBD" w:rsidRDefault="00A36CBD" w:rsidP="002761F1">
            <w:pPr>
              <w:rPr>
                <w:rFonts w:ascii="Arial" w:hAnsi="Arial"/>
                <w:sz w:val="18"/>
              </w:rPr>
            </w:pPr>
          </w:p>
        </w:tc>
        <w:tc>
          <w:tcPr>
            <w:tcW w:w="2509" w:type="dxa"/>
            <w:vMerge/>
            <w:tcBorders>
              <w:top w:val="single" w:sz="16" w:space="0" w:color="000000"/>
              <w:left w:val="nil"/>
              <w:bottom w:val="nil"/>
              <w:right w:val="nil"/>
              <w:tl2br w:val="nil"/>
              <w:tr2bl w:val="nil"/>
            </w:tcBorders>
            <w:shd w:val="clear" w:color="auto" w:fill="FFFFFF"/>
            <w:vAlign w:val="center"/>
          </w:tcPr>
          <w:p w14:paraId="440D3201"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49443C7C" w14:textId="77777777" w:rsidR="00A36CBD" w:rsidRDefault="00A36CBD" w:rsidP="002761F1">
            <w:pPr>
              <w:spacing w:line="320" w:lineRule="atLeast"/>
              <w:ind w:left="60" w:right="60"/>
              <w:rPr>
                <w:rFonts w:ascii="Arial" w:hAnsi="Arial"/>
                <w:sz w:val="18"/>
              </w:rPr>
            </w:pPr>
            <w:r>
              <w:rPr>
                <w:rFonts w:ascii="Arial" w:hAnsi="Arial"/>
                <w:sz w:val="18"/>
              </w:rPr>
              <w:t>$50 - $74</w:t>
            </w:r>
          </w:p>
        </w:tc>
        <w:tc>
          <w:tcPr>
            <w:tcW w:w="736" w:type="dxa"/>
            <w:tcBorders>
              <w:top w:val="nil"/>
              <w:left w:val="nil"/>
              <w:bottom w:val="nil"/>
              <w:right w:val="single" w:sz="16" w:space="0" w:color="000000"/>
              <w:tl2br w:val="nil"/>
              <w:tr2bl w:val="nil"/>
            </w:tcBorders>
            <w:shd w:val="clear" w:color="auto" w:fill="FFFFFF"/>
            <w:vAlign w:val="center"/>
          </w:tcPr>
          <w:p w14:paraId="59D13F01"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4B6B0106" w14:textId="77777777" w:rsidR="00A36CBD" w:rsidRDefault="00A36CBD" w:rsidP="002761F1">
            <w:pPr>
              <w:spacing w:line="320" w:lineRule="atLeast"/>
              <w:ind w:left="60" w:right="60"/>
              <w:jc w:val="right"/>
              <w:rPr>
                <w:rFonts w:ascii="Arial" w:hAnsi="Arial"/>
                <w:sz w:val="18"/>
              </w:rPr>
            </w:pPr>
            <w:r>
              <w:rPr>
                <w:rFonts w:ascii="Arial" w:hAnsi="Arial"/>
                <w:sz w:val="18"/>
              </w:rPr>
              <w:t>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63132017" w14:textId="77777777" w:rsidR="00A36CBD" w:rsidRDefault="00A36CBD" w:rsidP="002761F1">
            <w:pPr>
              <w:spacing w:line="320" w:lineRule="atLeast"/>
              <w:ind w:left="60" w:right="60"/>
              <w:jc w:val="right"/>
              <w:rPr>
                <w:rFonts w:ascii="Arial" w:hAnsi="Arial"/>
                <w:sz w:val="18"/>
              </w:rPr>
            </w:pPr>
            <w:r>
              <w:rPr>
                <w:rFonts w:ascii="Arial" w:hAnsi="Arial"/>
                <w:sz w:val="18"/>
              </w:rPr>
              <w:t>224</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6FC2F52F" w14:textId="77777777" w:rsidR="00A36CBD" w:rsidRDefault="00A36CBD" w:rsidP="002761F1">
            <w:pPr>
              <w:spacing w:line="320" w:lineRule="atLeast"/>
              <w:ind w:left="60" w:right="60"/>
              <w:jc w:val="right"/>
              <w:rPr>
                <w:rFonts w:ascii="Arial" w:hAnsi="Arial"/>
                <w:sz w:val="18"/>
              </w:rPr>
            </w:pPr>
            <w:r>
              <w:rPr>
                <w:rFonts w:ascii="Arial" w:hAnsi="Arial"/>
                <w:sz w:val="18"/>
              </w:rPr>
              <w:t>224</w:t>
            </w:r>
          </w:p>
        </w:tc>
      </w:tr>
      <w:tr w:rsidR="00A36CBD" w14:paraId="4F568BFC" w14:textId="77777777" w:rsidTr="002761F1">
        <w:trPr>
          <w:cantSplit/>
        </w:trPr>
        <w:tc>
          <w:tcPr>
            <w:tcW w:w="2510" w:type="dxa"/>
            <w:vMerge/>
            <w:tcBorders>
              <w:top w:val="single" w:sz="16" w:space="0" w:color="000000"/>
              <w:left w:val="single" w:sz="16" w:space="0" w:color="000000"/>
              <w:bottom w:val="nil"/>
              <w:right w:val="nil"/>
              <w:tl2br w:val="nil"/>
              <w:tr2bl w:val="nil"/>
            </w:tcBorders>
            <w:shd w:val="clear" w:color="auto" w:fill="FFFFFF"/>
            <w:vAlign w:val="center"/>
          </w:tcPr>
          <w:p w14:paraId="62908D29" w14:textId="77777777" w:rsidR="00A36CBD" w:rsidRDefault="00A36CBD" w:rsidP="002761F1">
            <w:pPr>
              <w:rPr>
                <w:rFonts w:ascii="Arial" w:hAnsi="Arial"/>
                <w:sz w:val="18"/>
              </w:rPr>
            </w:pPr>
          </w:p>
        </w:tc>
        <w:tc>
          <w:tcPr>
            <w:tcW w:w="2509" w:type="dxa"/>
            <w:vMerge/>
            <w:tcBorders>
              <w:top w:val="single" w:sz="16" w:space="0" w:color="000000"/>
              <w:left w:val="nil"/>
              <w:bottom w:val="nil"/>
              <w:right w:val="nil"/>
              <w:tl2br w:val="nil"/>
              <w:tr2bl w:val="nil"/>
            </w:tcBorders>
            <w:shd w:val="clear" w:color="auto" w:fill="FFFFFF"/>
            <w:vAlign w:val="center"/>
          </w:tcPr>
          <w:p w14:paraId="5E8440A6"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12B10995"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2CC95479"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42BA7A67" w14:textId="77777777" w:rsidR="00A36CBD" w:rsidRDefault="00A36CBD" w:rsidP="002761F1">
            <w:pPr>
              <w:spacing w:line="320" w:lineRule="atLeast"/>
              <w:ind w:left="60" w:right="60"/>
              <w:jc w:val="right"/>
              <w:rPr>
                <w:rFonts w:ascii="Arial" w:hAnsi="Arial"/>
                <w:sz w:val="18"/>
              </w:rPr>
            </w:pPr>
            <w:r>
              <w:rPr>
                <w:rFonts w:ascii="Arial" w:hAnsi="Arial"/>
                <w:sz w:val="18"/>
              </w:rPr>
              <w:t>0.0%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6F69019" w14:textId="77777777" w:rsidR="00A36CBD" w:rsidRDefault="00A36CBD" w:rsidP="002761F1">
            <w:pPr>
              <w:spacing w:line="320" w:lineRule="atLeast"/>
              <w:ind w:left="60" w:right="60"/>
              <w:jc w:val="right"/>
              <w:rPr>
                <w:rFonts w:ascii="Arial" w:hAnsi="Arial"/>
                <w:sz w:val="18"/>
              </w:rPr>
            </w:pPr>
            <w:r>
              <w:rPr>
                <w:rFonts w:ascii="Arial" w:hAnsi="Arial"/>
                <w:sz w:val="18"/>
              </w:rPr>
              <w:t>16.1%</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3C02B7EB" w14:textId="77777777" w:rsidR="00A36CBD" w:rsidRDefault="00A36CBD" w:rsidP="002761F1">
            <w:pPr>
              <w:spacing w:line="320" w:lineRule="atLeast"/>
              <w:ind w:left="60" w:right="60"/>
              <w:jc w:val="right"/>
              <w:rPr>
                <w:rFonts w:ascii="Arial" w:hAnsi="Arial"/>
                <w:sz w:val="18"/>
              </w:rPr>
            </w:pPr>
            <w:r>
              <w:rPr>
                <w:rFonts w:ascii="Arial" w:hAnsi="Arial"/>
                <w:sz w:val="18"/>
              </w:rPr>
              <w:t>16.1%</w:t>
            </w:r>
          </w:p>
        </w:tc>
      </w:tr>
      <w:tr w:rsidR="00A36CBD" w14:paraId="5975D0FE" w14:textId="77777777" w:rsidTr="002761F1">
        <w:trPr>
          <w:cantSplit/>
        </w:trPr>
        <w:tc>
          <w:tcPr>
            <w:tcW w:w="2510" w:type="dxa"/>
            <w:vMerge/>
            <w:tcBorders>
              <w:top w:val="single" w:sz="16" w:space="0" w:color="000000"/>
              <w:left w:val="single" w:sz="16" w:space="0" w:color="000000"/>
              <w:bottom w:val="nil"/>
              <w:right w:val="nil"/>
              <w:tl2br w:val="nil"/>
              <w:tr2bl w:val="nil"/>
            </w:tcBorders>
            <w:shd w:val="clear" w:color="auto" w:fill="FFFFFF"/>
            <w:vAlign w:val="center"/>
          </w:tcPr>
          <w:p w14:paraId="464525AD" w14:textId="77777777" w:rsidR="00A36CBD" w:rsidRDefault="00A36CBD" w:rsidP="002761F1">
            <w:pPr>
              <w:rPr>
                <w:rFonts w:ascii="Arial" w:hAnsi="Arial"/>
                <w:sz w:val="18"/>
              </w:rPr>
            </w:pPr>
          </w:p>
        </w:tc>
        <w:tc>
          <w:tcPr>
            <w:tcW w:w="2509" w:type="dxa"/>
            <w:vMerge/>
            <w:tcBorders>
              <w:top w:val="single" w:sz="16" w:space="0" w:color="000000"/>
              <w:left w:val="nil"/>
              <w:bottom w:val="nil"/>
              <w:right w:val="nil"/>
              <w:tl2br w:val="nil"/>
              <w:tr2bl w:val="nil"/>
            </w:tcBorders>
            <w:shd w:val="clear" w:color="auto" w:fill="FFFFFF"/>
            <w:vAlign w:val="center"/>
          </w:tcPr>
          <w:p w14:paraId="65C34399"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0F05380D" w14:textId="77777777" w:rsidR="00A36CBD" w:rsidRDefault="00A36CBD" w:rsidP="002761F1">
            <w:pPr>
              <w:spacing w:line="320" w:lineRule="atLeast"/>
              <w:ind w:left="60" w:right="60"/>
              <w:rPr>
                <w:rFonts w:ascii="Arial" w:hAnsi="Arial"/>
                <w:sz w:val="18"/>
              </w:rPr>
            </w:pPr>
            <w:r>
              <w:rPr>
                <w:rFonts w:ascii="Arial" w:hAnsi="Arial"/>
                <w:sz w:val="18"/>
              </w:rPr>
              <w:t>$75+</w:t>
            </w:r>
          </w:p>
        </w:tc>
        <w:tc>
          <w:tcPr>
            <w:tcW w:w="736" w:type="dxa"/>
            <w:tcBorders>
              <w:top w:val="nil"/>
              <w:left w:val="nil"/>
              <w:bottom w:val="nil"/>
              <w:right w:val="single" w:sz="16" w:space="0" w:color="000000"/>
              <w:tl2br w:val="nil"/>
              <w:tr2bl w:val="nil"/>
            </w:tcBorders>
            <w:shd w:val="clear" w:color="auto" w:fill="FFFFFF"/>
            <w:vAlign w:val="center"/>
          </w:tcPr>
          <w:p w14:paraId="5643FAAD"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08F4A248" w14:textId="77777777" w:rsidR="00A36CBD" w:rsidRDefault="00A36CBD" w:rsidP="002761F1">
            <w:pPr>
              <w:spacing w:line="320" w:lineRule="atLeast"/>
              <w:ind w:left="60" w:right="60"/>
              <w:jc w:val="right"/>
              <w:rPr>
                <w:rFonts w:ascii="Arial" w:hAnsi="Arial"/>
                <w:sz w:val="18"/>
              </w:rPr>
            </w:pPr>
            <w:r>
              <w:rPr>
                <w:rFonts w:ascii="Arial" w:hAnsi="Arial"/>
                <w:sz w:val="18"/>
              </w:rPr>
              <w:t>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2C02590F" w14:textId="77777777" w:rsidR="00A36CBD" w:rsidRDefault="00A36CBD" w:rsidP="002761F1">
            <w:pPr>
              <w:spacing w:line="320" w:lineRule="atLeast"/>
              <w:ind w:left="60" w:right="60"/>
              <w:jc w:val="right"/>
              <w:rPr>
                <w:rFonts w:ascii="Arial" w:hAnsi="Arial"/>
                <w:sz w:val="18"/>
              </w:rPr>
            </w:pPr>
            <w:r>
              <w:rPr>
                <w:rFonts w:ascii="Arial" w:hAnsi="Arial"/>
                <w:sz w:val="18"/>
              </w:rPr>
              <w:t>307</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711F5110" w14:textId="77777777" w:rsidR="00A36CBD" w:rsidRDefault="00A36CBD" w:rsidP="002761F1">
            <w:pPr>
              <w:spacing w:line="320" w:lineRule="atLeast"/>
              <w:ind w:left="60" w:right="60"/>
              <w:jc w:val="right"/>
              <w:rPr>
                <w:rFonts w:ascii="Arial" w:hAnsi="Arial"/>
                <w:sz w:val="18"/>
              </w:rPr>
            </w:pPr>
            <w:r>
              <w:rPr>
                <w:rFonts w:ascii="Arial" w:hAnsi="Arial"/>
                <w:sz w:val="18"/>
              </w:rPr>
              <w:t>307</w:t>
            </w:r>
          </w:p>
        </w:tc>
      </w:tr>
      <w:tr w:rsidR="00A36CBD" w14:paraId="686874C4" w14:textId="77777777" w:rsidTr="002761F1">
        <w:trPr>
          <w:cantSplit/>
        </w:trPr>
        <w:tc>
          <w:tcPr>
            <w:tcW w:w="2510" w:type="dxa"/>
            <w:vMerge/>
            <w:tcBorders>
              <w:top w:val="single" w:sz="16" w:space="0" w:color="000000"/>
              <w:left w:val="single" w:sz="16" w:space="0" w:color="000000"/>
              <w:bottom w:val="nil"/>
              <w:right w:val="nil"/>
              <w:tl2br w:val="nil"/>
              <w:tr2bl w:val="nil"/>
            </w:tcBorders>
            <w:shd w:val="clear" w:color="auto" w:fill="FFFFFF"/>
            <w:vAlign w:val="center"/>
          </w:tcPr>
          <w:p w14:paraId="17DF759F" w14:textId="77777777" w:rsidR="00A36CBD" w:rsidRDefault="00A36CBD" w:rsidP="002761F1">
            <w:pPr>
              <w:rPr>
                <w:rFonts w:ascii="Arial" w:hAnsi="Arial"/>
                <w:sz w:val="18"/>
              </w:rPr>
            </w:pPr>
          </w:p>
        </w:tc>
        <w:tc>
          <w:tcPr>
            <w:tcW w:w="2509" w:type="dxa"/>
            <w:vMerge/>
            <w:tcBorders>
              <w:top w:val="single" w:sz="16" w:space="0" w:color="000000"/>
              <w:left w:val="nil"/>
              <w:bottom w:val="nil"/>
              <w:right w:val="nil"/>
              <w:tl2br w:val="nil"/>
              <w:tr2bl w:val="nil"/>
            </w:tcBorders>
            <w:shd w:val="clear" w:color="auto" w:fill="FFFFFF"/>
            <w:vAlign w:val="center"/>
          </w:tcPr>
          <w:p w14:paraId="72B003F7"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65950534"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20F57A14"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0459111C" w14:textId="77777777" w:rsidR="00A36CBD" w:rsidRDefault="00A36CBD" w:rsidP="002761F1">
            <w:pPr>
              <w:spacing w:line="320" w:lineRule="atLeast"/>
              <w:ind w:left="60" w:right="60"/>
              <w:jc w:val="right"/>
              <w:rPr>
                <w:rFonts w:ascii="Arial" w:hAnsi="Arial"/>
                <w:sz w:val="18"/>
              </w:rPr>
            </w:pPr>
            <w:r>
              <w:rPr>
                <w:rFonts w:ascii="Arial" w:hAnsi="Arial"/>
                <w:sz w:val="18"/>
              </w:rPr>
              <w:t>0.0%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67F2095B" w14:textId="77777777" w:rsidR="00A36CBD" w:rsidRDefault="00A36CBD" w:rsidP="002761F1">
            <w:pPr>
              <w:spacing w:line="320" w:lineRule="atLeast"/>
              <w:ind w:left="60" w:right="60"/>
              <w:jc w:val="right"/>
              <w:rPr>
                <w:rFonts w:ascii="Arial" w:hAnsi="Arial"/>
                <w:sz w:val="18"/>
              </w:rPr>
            </w:pPr>
            <w:r>
              <w:rPr>
                <w:rFonts w:ascii="Arial" w:hAnsi="Arial"/>
                <w:sz w:val="18"/>
              </w:rPr>
              <w:t>22.1%</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4B5DCC03" w14:textId="77777777" w:rsidR="00A36CBD" w:rsidRDefault="00A36CBD" w:rsidP="002761F1">
            <w:pPr>
              <w:spacing w:line="320" w:lineRule="atLeast"/>
              <w:ind w:left="60" w:right="60"/>
              <w:jc w:val="right"/>
              <w:rPr>
                <w:rFonts w:ascii="Arial" w:hAnsi="Arial"/>
                <w:sz w:val="18"/>
              </w:rPr>
            </w:pPr>
            <w:r>
              <w:rPr>
                <w:rFonts w:ascii="Arial" w:hAnsi="Arial"/>
                <w:sz w:val="18"/>
              </w:rPr>
              <w:t>22.1%</w:t>
            </w:r>
          </w:p>
        </w:tc>
      </w:tr>
      <w:tr w:rsidR="00A36CBD" w14:paraId="0B8EF4C8" w14:textId="77777777" w:rsidTr="002761F1">
        <w:trPr>
          <w:cantSplit/>
        </w:trPr>
        <w:tc>
          <w:tcPr>
            <w:tcW w:w="2510" w:type="dxa"/>
            <w:vMerge/>
            <w:tcBorders>
              <w:top w:val="single" w:sz="16" w:space="0" w:color="000000"/>
              <w:left w:val="single" w:sz="16" w:space="0" w:color="000000"/>
              <w:bottom w:val="nil"/>
              <w:right w:val="nil"/>
              <w:tl2br w:val="nil"/>
              <w:tr2bl w:val="nil"/>
            </w:tcBorders>
            <w:shd w:val="clear" w:color="auto" w:fill="FFFFFF"/>
            <w:vAlign w:val="center"/>
          </w:tcPr>
          <w:p w14:paraId="0A546FB4" w14:textId="77777777" w:rsidR="00A36CBD" w:rsidRDefault="00A36CBD" w:rsidP="002761F1">
            <w:pPr>
              <w:rPr>
                <w:rFonts w:ascii="Arial" w:hAnsi="Arial"/>
                <w:sz w:val="18"/>
              </w:rPr>
            </w:pPr>
          </w:p>
        </w:tc>
        <w:tc>
          <w:tcPr>
            <w:tcW w:w="3700" w:type="dxa"/>
            <w:gridSpan w:val="2"/>
            <w:vMerge w:val="restart"/>
            <w:tcBorders>
              <w:top w:val="nil"/>
              <w:left w:val="nil"/>
              <w:bottom w:val="nil"/>
              <w:right w:val="nil"/>
              <w:tl2br w:val="nil"/>
              <w:tr2bl w:val="nil"/>
            </w:tcBorders>
            <w:shd w:val="clear" w:color="auto" w:fill="FFFFFF"/>
            <w:vAlign w:val="center"/>
          </w:tcPr>
          <w:p w14:paraId="644E0077" w14:textId="77777777" w:rsidR="00A36CBD" w:rsidRDefault="00A36CBD" w:rsidP="002761F1">
            <w:pPr>
              <w:spacing w:line="320" w:lineRule="atLeast"/>
              <w:ind w:left="60" w:right="60"/>
              <w:rPr>
                <w:rFonts w:ascii="Arial" w:hAnsi="Arial"/>
                <w:sz w:val="18"/>
              </w:rPr>
            </w:pPr>
            <w:r>
              <w:rPr>
                <w:rFonts w:ascii="Arial" w:hAnsi="Arial"/>
                <w:sz w:val="18"/>
              </w:rPr>
              <w:t>Total</w:t>
            </w:r>
          </w:p>
        </w:tc>
        <w:tc>
          <w:tcPr>
            <w:tcW w:w="736" w:type="dxa"/>
            <w:tcBorders>
              <w:top w:val="nil"/>
              <w:left w:val="nil"/>
              <w:bottom w:val="nil"/>
              <w:right w:val="single" w:sz="16" w:space="0" w:color="000000"/>
              <w:tl2br w:val="nil"/>
              <w:tr2bl w:val="nil"/>
            </w:tcBorders>
            <w:shd w:val="clear" w:color="auto" w:fill="FFFFFF"/>
            <w:vAlign w:val="center"/>
          </w:tcPr>
          <w:p w14:paraId="1F74B84A"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5BCEA74D" w14:textId="77777777" w:rsidR="00A36CBD" w:rsidRDefault="00A36CBD" w:rsidP="002761F1">
            <w:pPr>
              <w:spacing w:line="320" w:lineRule="atLeast"/>
              <w:ind w:left="60" w:right="60"/>
              <w:jc w:val="right"/>
              <w:rPr>
                <w:rFonts w:ascii="Arial" w:hAnsi="Arial"/>
                <w:sz w:val="18"/>
              </w:rPr>
            </w:pPr>
            <w:r>
              <w:rPr>
                <w:rFonts w:ascii="Arial" w:hAnsi="Arial"/>
                <w:sz w:val="18"/>
              </w:rPr>
              <w:t>58</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21F52C8F" w14:textId="77777777" w:rsidR="00A36CBD" w:rsidRDefault="00A36CBD" w:rsidP="002761F1">
            <w:pPr>
              <w:spacing w:line="320" w:lineRule="atLeast"/>
              <w:ind w:left="60" w:right="60"/>
              <w:jc w:val="right"/>
              <w:rPr>
                <w:rFonts w:ascii="Arial" w:hAnsi="Arial"/>
                <w:sz w:val="18"/>
              </w:rPr>
            </w:pPr>
            <w:r>
              <w:rPr>
                <w:rFonts w:ascii="Arial" w:hAnsi="Arial"/>
                <w:sz w:val="18"/>
              </w:rPr>
              <w:t>1332</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5BB3FE4" w14:textId="77777777" w:rsidR="00A36CBD" w:rsidRDefault="00A36CBD" w:rsidP="002761F1">
            <w:pPr>
              <w:spacing w:line="320" w:lineRule="atLeast"/>
              <w:ind w:left="60" w:right="60"/>
              <w:jc w:val="right"/>
              <w:rPr>
                <w:rFonts w:ascii="Arial" w:hAnsi="Arial"/>
                <w:sz w:val="18"/>
              </w:rPr>
            </w:pPr>
            <w:r>
              <w:rPr>
                <w:rFonts w:ascii="Arial" w:hAnsi="Arial"/>
                <w:sz w:val="18"/>
              </w:rPr>
              <w:t>1390</w:t>
            </w:r>
          </w:p>
        </w:tc>
      </w:tr>
      <w:tr w:rsidR="00A36CBD" w14:paraId="5FF0E311" w14:textId="77777777" w:rsidTr="002761F1">
        <w:trPr>
          <w:cantSplit/>
        </w:trPr>
        <w:tc>
          <w:tcPr>
            <w:tcW w:w="2510" w:type="dxa"/>
            <w:vMerge/>
            <w:tcBorders>
              <w:top w:val="single" w:sz="16" w:space="0" w:color="000000"/>
              <w:left w:val="single" w:sz="16" w:space="0" w:color="000000"/>
              <w:bottom w:val="nil"/>
              <w:right w:val="nil"/>
              <w:tl2br w:val="nil"/>
              <w:tr2bl w:val="nil"/>
            </w:tcBorders>
            <w:shd w:val="clear" w:color="auto" w:fill="FFFFFF"/>
            <w:vAlign w:val="center"/>
          </w:tcPr>
          <w:p w14:paraId="0651662A" w14:textId="77777777" w:rsidR="00A36CBD" w:rsidRDefault="00A36CBD" w:rsidP="002761F1">
            <w:pPr>
              <w:rPr>
                <w:rFonts w:ascii="Arial" w:hAnsi="Arial"/>
                <w:sz w:val="18"/>
              </w:rPr>
            </w:pPr>
          </w:p>
        </w:tc>
        <w:tc>
          <w:tcPr>
            <w:tcW w:w="3700" w:type="dxa"/>
            <w:gridSpan w:val="2"/>
            <w:vMerge/>
            <w:tcBorders>
              <w:top w:val="nil"/>
              <w:left w:val="nil"/>
              <w:bottom w:val="nil"/>
              <w:right w:val="nil"/>
              <w:tl2br w:val="nil"/>
              <w:tr2bl w:val="nil"/>
            </w:tcBorders>
            <w:shd w:val="clear" w:color="auto" w:fill="FFFFFF"/>
            <w:vAlign w:val="center"/>
          </w:tcPr>
          <w:p w14:paraId="7BC91400"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6C112D6C"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6A0877F3" w14:textId="77777777" w:rsidR="00A36CBD" w:rsidRDefault="00A36CBD" w:rsidP="002761F1">
            <w:pPr>
              <w:spacing w:line="320" w:lineRule="atLeast"/>
              <w:ind w:left="60" w:right="60"/>
              <w:jc w:val="right"/>
              <w:rPr>
                <w:rFonts w:ascii="Arial" w:hAnsi="Arial"/>
                <w:sz w:val="18"/>
              </w:rPr>
            </w:pPr>
            <w:r>
              <w:rPr>
                <w:rFonts w:ascii="Arial" w:hAnsi="Arial"/>
                <w:sz w:val="18"/>
              </w:rPr>
              <w:t>4.2%</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61EE9EE2" w14:textId="77777777" w:rsidR="00A36CBD" w:rsidRDefault="00A36CBD" w:rsidP="002761F1">
            <w:pPr>
              <w:spacing w:line="320" w:lineRule="atLeast"/>
              <w:ind w:left="60" w:right="60"/>
              <w:jc w:val="right"/>
              <w:rPr>
                <w:rFonts w:ascii="Arial" w:hAnsi="Arial"/>
                <w:sz w:val="18"/>
              </w:rPr>
            </w:pPr>
            <w:r>
              <w:rPr>
                <w:rFonts w:ascii="Arial" w:hAnsi="Arial"/>
                <w:sz w:val="18"/>
              </w:rPr>
              <w:t>95.8%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1A523CBD" w14:textId="77777777" w:rsidR="00A36CBD" w:rsidRDefault="00A36CBD" w:rsidP="002761F1">
            <w:pPr>
              <w:spacing w:line="320" w:lineRule="atLeast"/>
              <w:ind w:left="60" w:right="60"/>
              <w:jc w:val="right"/>
              <w:rPr>
                <w:rFonts w:ascii="Arial" w:hAnsi="Arial"/>
                <w:sz w:val="18"/>
              </w:rPr>
            </w:pPr>
            <w:r>
              <w:rPr>
                <w:rFonts w:ascii="Arial" w:hAnsi="Arial"/>
                <w:sz w:val="18"/>
              </w:rPr>
              <w:t>100.0%</w:t>
            </w:r>
          </w:p>
        </w:tc>
      </w:tr>
      <w:tr w:rsidR="00A36CBD" w14:paraId="42FA52E5" w14:textId="77777777" w:rsidTr="002761F1">
        <w:trPr>
          <w:cantSplit/>
        </w:trPr>
        <w:tc>
          <w:tcPr>
            <w:tcW w:w="2510" w:type="dxa"/>
            <w:vMerge w:val="restart"/>
            <w:tcBorders>
              <w:top w:val="nil"/>
              <w:left w:val="single" w:sz="16" w:space="0" w:color="000000"/>
              <w:bottom w:val="nil"/>
              <w:right w:val="nil"/>
              <w:tl2br w:val="nil"/>
              <w:tr2bl w:val="nil"/>
            </w:tcBorders>
            <w:shd w:val="clear" w:color="auto" w:fill="FFFFFF"/>
            <w:vAlign w:val="center"/>
          </w:tcPr>
          <w:p w14:paraId="3743FD29" w14:textId="77777777" w:rsidR="00A36CBD" w:rsidRDefault="00A36CBD" w:rsidP="002761F1">
            <w:pPr>
              <w:spacing w:line="320" w:lineRule="atLeast"/>
              <w:ind w:left="60" w:right="60"/>
              <w:rPr>
                <w:rFonts w:ascii="Arial" w:hAnsi="Arial"/>
                <w:sz w:val="18"/>
              </w:rPr>
            </w:pPr>
            <w:r>
              <w:rPr>
                <w:rFonts w:ascii="Arial" w:hAnsi="Arial"/>
                <w:sz w:val="18"/>
              </w:rPr>
              <w:t>High school degree</w:t>
            </w:r>
          </w:p>
        </w:tc>
        <w:tc>
          <w:tcPr>
            <w:tcW w:w="2509" w:type="dxa"/>
            <w:vMerge w:val="restart"/>
            <w:tcBorders>
              <w:top w:val="nil"/>
              <w:left w:val="nil"/>
              <w:bottom w:val="nil"/>
              <w:right w:val="nil"/>
              <w:tl2br w:val="nil"/>
              <w:tr2bl w:val="nil"/>
            </w:tcBorders>
            <w:shd w:val="clear" w:color="auto" w:fill="FFFFFF"/>
            <w:vAlign w:val="center"/>
          </w:tcPr>
          <w:p w14:paraId="4653DCA5" w14:textId="77777777" w:rsidR="00A36CBD" w:rsidRDefault="00A36CBD" w:rsidP="002761F1">
            <w:pPr>
              <w:spacing w:line="320" w:lineRule="atLeast"/>
              <w:ind w:left="60" w:right="60"/>
              <w:rPr>
                <w:rFonts w:ascii="Arial" w:hAnsi="Arial"/>
                <w:sz w:val="18"/>
              </w:rPr>
            </w:pPr>
            <w:r>
              <w:rPr>
                <w:rFonts w:ascii="Arial" w:hAnsi="Arial"/>
                <w:sz w:val="18"/>
              </w:rPr>
              <w:t>Income category in thousands</w:t>
            </w:r>
          </w:p>
        </w:tc>
        <w:tc>
          <w:tcPr>
            <w:tcW w:w="1191" w:type="dxa"/>
            <w:vMerge w:val="restart"/>
            <w:tcBorders>
              <w:top w:val="nil"/>
              <w:left w:val="nil"/>
              <w:bottom w:val="nil"/>
              <w:right w:val="nil"/>
              <w:tl2br w:val="nil"/>
              <w:tr2bl w:val="nil"/>
            </w:tcBorders>
            <w:shd w:val="clear" w:color="auto" w:fill="FFFFFF"/>
            <w:vAlign w:val="center"/>
          </w:tcPr>
          <w:p w14:paraId="1A447C1D" w14:textId="77777777" w:rsidR="00A36CBD" w:rsidRDefault="00A36CBD" w:rsidP="002761F1">
            <w:pPr>
              <w:spacing w:line="320" w:lineRule="atLeast"/>
              <w:ind w:left="60" w:right="60"/>
              <w:rPr>
                <w:rFonts w:ascii="Arial" w:hAnsi="Arial"/>
                <w:sz w:val="18"/>
              </w:rPr>
            </w:pPr>
            <w:r>
              <w:rPr>
                <w:rFonts w:ascii="Arial" w:hAnsi="Arial"/>
                <w:sz w:val="18"/>
              </w:rPr>
              <w:t>Under $25</w:t>
            </w:r>
          </w:p>
        </w:tc>
        <w:tc>
          <w:tcPr>
            <w:tcW w:w="736" w:type="dxa"/>
            <w:tcBorders>
              <w:top w:val="nil"/>
              <w:left w:val="nil"/>
              <w:bottom w:val="nil"/>
              <w:right w:val="single" w:sz="16" w:space="0" w:color="000000"/>
              <w:tl2br w:val="nil"/>
              <w:tr2bl w:val="nil"/>
            </w:tcBorders>
            <w:shd w:val="clear" w:color="auto" w:fill="FFFFFF"/>
            <w:vAlign w:val="center"/>
          </w:tcPr>
          <w:p w14:paraId="505A13AA"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AB14444" w14:textId="77777777" w:rsidR="00A36CBD" w:rsidRDefault="00A36CBD" w:rsidP="002761F1">
            <w:pPr>
              <w:spacing w:line="320" w:lineRule="atLeast"/>
              <w:ind w:left="60" w:right="60"/>
              <w:jc w:val="right"/>
              <w:rPr>
                <w:rFonts w:ascii="Arial" w:hAnsi="Arial"/>
                <w:sz w:val="18"/>
              </w:rPr>
            </w:pPr>
            <w:r>
              <w:rPr>
                <w:rFonts w:ascii="Arial" w:hAnsi="Arial"/>
                <w:sz w:val="18"/>
              </w:rPr>
              <w:t>50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6D94A092" w14:textId="77777777" w:rsidR="00A36CBD" w:rsidRDefault="00A36CBD" w:rsidP="002761F1">
            <w:pPr>
              <w:spacing w:line="320" w:lineRule="atLeast"/>
              <w:ind w:left="60" w:right="60"/>
              <w:jc w:val="right"/>
              <w:rPr>
                <w:rFonts w:ascii="Arial" w:hAnsi="Arial"/>
                <w:sz w:val="18"/>
              </w:rPr>
            </w:pPr>
            <w:r>
              <w:rPr>
                <w:rFonts w:ascii="Arial" w:hAnsi="Arial"/>
                <w:sz w:val="18"/>
              </w:rPr>
              <w:t>328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79E0DFE5" w14:textId="77777777" w:rsidR="00A36CBD" w:rsidRDefault="00A36CBD" w:rsidP="002761F1">
            <w:pPr>
              <w:spacing w:line="320" w:lineRule="atLeast"/>
              <w:ind w:left="60" w:right="60"/>
              <w:jc w:val="right"/>
              <w:rPr>
                <w:rFonts w:ascii="Arial" w:hAnsi="Arial"/>
                <w:sz w:val="18"/>
              </w:rPr>
            </w:pPr>
            <w:r>
              <w:rPr>
                <w:rFonts w:ascii="Arial" w:hAnsi="Arial"/>
                <w:sz w:val="18"/>
              </w:rPr>
              <w:t>378</w:t>
            </w:r>
          </w:p>
        </w:tc>
      </w:tr>
      <w:tr w:rsidR="00A36CBD" w14:paraId="3A99C8E9"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184AFB07"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F8CFB3C"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2E8EEF69"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3C8354FA"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55FDFC0" w14:textId="77777777" w:rsidR="00A36CBD" w:rsidRDefault="00A36CBD" w:rsidP="002761F1">
            <w:pPr>
              <w:spacing w:line="320" w:lineRule="atLeast"/>
              <w:ind w:left="60" w:right="60"/>
              <w:jc w:val="right"/>
              <w:rPr>
                <w:rFonts w:ascii="Arial" w:hAnsi="Arial"/>
                <w:sz w:val="18"/>
              </w:rPr>
            </w:pPr>
            <w:r>
              <w:rPr>
                <w:rFonts w:ascii="Arial" w:hAnsi="Arial"/>
                <w:sz w:val="18"/>
              </w:rPr>
              <w:t>2.6%</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A1795EE" w14:textId="77777777" w:rsidR="00A36CBD" w:rsidRDefault="00A36CBD" w:rsidP="002761F1">
            <w:pPr>
              <w:spacing w:line="320" w:lineRule="atLeast"/>
              <w:ind w:left="60" w:right="60"/>
              <w:jc w:val="right"/>
              <w:rPr>
                <w:rFonts w:ascii="Arial" w:hAnsi="Arial"/>
                <w:sz w:val="18"/>
              </w:rPr>
            </w:pPr>
            <w:r>
              <w:rPr>
                <w:rFonts w:ascii="Arial" w:hAnsi="Arial"/>
                <w:sz w:val="18"/>
              </w:rPr>
              <w:t>16.9%</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15DF8263" w14:textId="77777777" w:rsidR="00A36CBD" w:rsidRDefault="00A36CBD" w:rsidP="002761F1">
            <w:pPr>
              <w:spacing w:line="320" w:lineRule="atLeast"/>
              <w:ind w:left="60" w:right="60"/>
              <w:jc w:val="right"/>
              <w:rPr>
                <w:rFonts w:ascii="Arial" w:hAnsi="Arial"/>
                <w:sz w:val="18"/>
              </w:rPr>
            </w:pPr>
            <w:r>
              <w:rPr>
                <w:rFonts w:ascii="Arial" w:hAnsi="Arial"/>
                <w:sz w:val="18"/>
              </w:rPr>
              <w:t>19.5%</w:t>
            </w:r>
          </w:p>
        </w:tc>
      </w:tr>
      <w:tr w:rsidR="00A36CBD" w14:paraId="07B2F7A1"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38BD6E48"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563C9F9D"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6EC4339B" w14:textId="77777777" w:rsidR="00A36CBD" w:rsidRDefault="00A36CBD" w:rsidP="002761F1">
            <w:pPr>
              <w:spacing w:line="320" w:lineRule="atLeast"/>
              <w:ind w:left="60" w:right="60"/>
              <w:rPr>
                <w:rFonts w:ascii="Arial" w:hAnsi="Arial"/>
                <w:sz w:val="18"/>
              </w:rPr>
            </w:pPr>
            <w:r>
              <w:rPr>
                <w:rFonts w:ascii="Arial" w:hAnsi="Arial"/>
                <w:sz w:val="18"/>
              </w:rPr>
              <w:t>$25 - $49</w:t>
            </w:r>
          </w:p>
        </w:tc>
        <w:tc>
          <w:tcPr>
            <w:tcW w:w="736" w:type="dxa"/>
            <w:tcBorders>
              <w:top w:val="nil"/>
              <w:left w:val="nil"/>
              <w:bottom w:val="nil"/>
              <w:right w:val="single" w:sz="16" w:space="0" w:color="000000"/>
              <w:tl2br w:val="nil"/>
              <w:tr2bl w:val="nil"/>
            </w:tcBorders>
            <w:shd w:val="clear" w:color="auto" w:fill="FFFFFF"/>
            <w:vAlign w:val="center"/>
          </w:tcPr>
          <w:p w14:paraId="77FCBEE3"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3633F4CA" w14:textId="77777777" w:rsidR="00A36CBD" w:rsidRDefault="00A36CBD" w:rsidP="002761F1">
            <w:pPr>
              <w:spacing w:line="320" w:lineRule="atLeast"/>
              <w:ind w:left="60" w:right="60"/>
              <w:jc w:val="right"/>
              <w:rPr>
                <w:rFonts w:ascii="Arial" w:hAnsi="Arial"/>
                <w:sz w:val="18"/>
              </w:rPr>
            </w:pPr>
            <w:r>
              <w:rPr>
                <w:rFonts w:ascii="Arial" w:hAnsi="Arial"/>
                <w:sz w:val="18"/>
              </w:rPr>
              <w:t>26</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242B9A3" w14:textId="77777777" w:rsidR="00A36CBD" w:rsidRDefault="00A36CBD" w:rsidP="002761F1">
            <w:pPr>
              <w:spacing w:line="320" w:lineRule="atLeast"/>
              <w:ind w:left="60" w:right="60"/>
              <w:jc w:val="right"/>
              <w:rPr>
                <w:rFonts w:ascii="Arial" w:hAnsi="Arial"/>
                <w:sz w:val="18"/>
              </w:rPr>
            </w:pPr>
            <w:r>
              <w:rPr>
                <w:rFonts w:ascii="Arial" w:hAnsi="Arial"/>
                <w:sz w:val="18"/>
              </w:rPr>
              <w:t>704</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4D843EE" w14:textId="77777777" w:rsidR="00A36CBD" w:rsidRDefault="00A36CBD" w:rsidP="002761F1">
            <w:pPr>
              <w:spacing w:line="320" w:lineRule="atLeast"/>
              <w:ind w:left="60" w:right="60"/>
              <w:jc w:val="right"/>
              <w:rPr>
                <w:rFonts w:ascii="Arial" w:hAnsi="Arial"/>
                <w:sz w:val="18"/>
              </w:rPr>
            </w:pPr>
            <w:r>
              <w:rPr>
                <w:rFonts w:ascii="Arial" w:hAnsi="Arial"/>
                <w:sz w:val="18"/>
              </w:rPr>
              <w:t>730</w:t>
            </w:r>
          </w:p>
        </w:tc>
      </w:tr>
      <w:tr w:rsidR="00A36CBD" w14:paraId="4D18DCA2"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77D290C2"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6408684C"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31961556"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65BD4308"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8C16BFD" w14:textId="77777777" w:rsidR="00A36CBD" w:rsidRDefault="00A36CBD" w:rsidP="002761F1">
            <w:pPr>
              <w:spacing w:line="320" w:lineRule="atLeast"/>
              <w:ind w:left="60" w:right="60"/>
              <w:jc w:val="right"/>
              <w:rPr>
                <w:rFonts w:ascii="Arial" w:hAnsi="Arial"/>
                <w:sz w:val="18"/>
              </w:rPr>
            </w:pPr>
            <w:r>
              <w:rPr>
                <w:rFonts w:ascii="Arial" w:hAnsi="Arial"/>
                <w:sz w:val="18"/>
              </w:rPr>
              <w:t>1.3%</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F5899D6" w14:textId="77777777" w:rsidR="00A36CBD" w:rsidRDefault="00A36CBD" w:rsidP="002761F1">
            <w:pPr>
              <w:spacing w:line="320" w:lineRule="atLeast"/>
              <w:ind w:left="60" w:right="60"/>
              <w:jc w:val="right"/>
              <w:rPr>
                <w:rFonts w:ascii="Arial" w:hAnsi="Arial"/>
                <w:sz w:val="18"/>
              </w:rPr>
            </w:pPr>
            <w:r>
              <w:rPr>
                <w:rFonts w:ascii="Arial" w:hAnsi="Arial"/>
                <w:sz w:val="18"/>
              </w:rPr>
              <w:t>36.4%</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251260D0" w14:textId="77777777" w:rsidR="00A36CBD" w:rsidRDefault="00A36CBD" w:rsidP="002761F1">
            <w:pPr>
              <w:spacing w:line="320" w:lineRule="atLeast"/>
              <w:ind w:left="60" w:right="60"/>
              <w:jc w:val="right"/>
              <w:rPr>
                <w:rFonts w:ascii="Arial" w:hAnsi="Arial"/>
                <w:sz w:val="18"/>
              </w:rPr>
            </w:pPr>
            <w:r>
              <w:rPr>
                <w:rFonts w:ascii="Arial" w:hAnsi="Arial"/>
                <w:sz w:val="18"/>
              </w:rPr>
              <w:t>37.7%</w:t>
            </w:r>
          </w:p>
        </w:tc>
      </w:tr>
      <w:tr w:rsidR="00A36CBD" w14:paraId="039C02DD"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4DD52138"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468508B"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30E686E4" w14:textId="77777777" w:rsidR="00A36CBD" w:rsidRDefault="00A36CBD" w:rsidP="002761F1">
            <w:pPr>
              <w:spacing w:line="320" w:lineRule="atLeast"/>
              <w:ind w:left="60" w:right="60"/>
              <w:rPr>
                <w:rFonts w:ascii="Arial" w:hAnsi="Arial"/>
                <w:sz w:val="18"/>
              </w:rPr>
            </w:pPr>
            <w:r>
              <w:rPr>
                <w:rFonts w:ascii="Arial" w:hAnsi="Arial"/>
                <w:sz w:val="18"/>
              </w:rPr>
              <w:t>$50 - $74</w:t>
            </w:r>
          </w:p>
        </w:tc>
        <w:tc>
          <w:tcPr>
            <w:tcW w:w="736" w:type="dxa"/>
            <w:tcBorders>
              <w:top w:val="nil"/>
              <w:left w:val="nil"/>
              <w:bottom w:val="nil"/>
              <w:right w:val="single" w:sz="16" w:space="0" w:color="000000"/>
              <w:tl2br w:val="nil"/>
              <w:tr2bl w:val="nil"/>
            </w:tcBorders>
            <w:shd w:val="clear" w:color="auto" w:fill="FFFFFF"/>
            <w:vAlign w:val="center"/>
          </w:tcPr>
          <w:p w14:paraId="16D19A9E"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02256550" w14:textId="77777777" w:rsidR="00A36CBD" w:rsidRDefault="00A36CBD" w:rsidP="002761F1">
            <w:pPr>
              <w:spacing w:line="320" w:lineRule="atLeast"/>
              <w:ind w:left="60" w:right="60"/>
              <w:jc w:val="right"/>
              <w:rPr>
                <w:rFonts w:ascii="Arial" w:hAnsi="Arial"/>
                <w:sz w:val="18"/>
              </w:rPr>
            </w:pPr>
            <w:r>
              <w:rPr>
                <w:rFonts w:ascii="Arial" w:hAnsi="Arial"/>
                <w:sz w:val="18"/>
              </w:rPr>
              <w:t>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6FAC4D3B" w14:textId="77777777" w:rsidR="00A36CBD" w:rsidRDefault="00A36CBD" w:rsidP="002761F1">
            <w:pPr>
              <w:spacing w:line="320" w:lineRule="atLeast"/>
              <w:ind w:left="60" w:right="60"/>
              <w:jc w:val="right"/>
              <w:rPr>
                <w:rFonts w:ascii="Arial" w:hAnsi="Arial"/>
                <w:sz w:val="18"/>
              </w:rPr>
            </w:pPr>
            <w:r>
              <w:rPr>
                <w:rFonts w:ascii="Arial" w:hAnsi="Arial"/>
                <w:sz w:val="18"/>
              </w:rPr>
              <w:t>325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401BBFDB" w14:textId="77777777" w:rsidR="00A36CBD" w:rsidRDefault="00A36CBD" w:rsidP="002761F1">
            <w:pPr>
              <w:spacing w:line="320" w:lineRule="atLeast"/>
              <w:ind w:left="60" w:right="60"/>
              <w:jc w:val="right"/>
              <w:rPr>
                <w:rFonts w:ascii="Arial" w:hAnsi="Arial"/>
                <w:sz w:val="18"/>
              </w:rPr>
            </w:pPr>
            <w:r>
              <w:rPr>
                <w:rFonts w:ascii="Arial" w:hAnsi="Arial"/>
                <w:sz w:val="18"/>
              </w:rPr>
              <w:t>326</w:t>
            </w:r>
          </w:p>
        </w:tc>
      </w:tr>
      <w:tr w:rsidR="00A36CBD" w14:paraId="047F3FAD"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132684A5"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47BB75CC"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7DA2F45D"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6F858B25"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7137F1EA" w14:textId="77777777" w:rsidR="00A36CBD" w:rsidRDefault="00A36CBD" w:rsidP="002761F1">
            <w:pPr>
              <w:spacing w:line="320" w:lineRule="atLeast"/>
              <w:ind w:left="60" w:right="60"/>
              <w:jc w:val="right"/>
              <w:rPr>
                <w:rFonts w:ascii="Arial" w:hAnsi="Arial"/>
                <w:sz w:val="18"/>
              </w:rPr>
            </w:pPr>
            <w:r>
              <w:rPr>
                <w:rFonts w:ascii="Arial" w:hAnsi="Arial"/>
                <w:sz w:val="18"/>
              </w:rPr>
              <w:t>0.1%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A48985F" w14:textId="77777777" w:rsidR="00A36CBD" w:rsidRDefault="00A36CBD" w:rsidP="002761F1">
            <w:pPr>
              <w:spacing w:line="320" w:lineRule="atLeast"/>
              <w:ind w:left="60" w:right="60"/>
              <w:jc w:val="right"/>
              <w:rPr>
                <w:rFonts w:ascii="Arial" w:hAnsi="Arial"/>
                <w:sz w:val="18"/>
              </w:rPr>
            </w:pPr>
            <w:r>
              <w:rPr>
                <w:rFonts w:ascii="Arial" w:hAnsi="Arial"/>
                <w:sz w:val="18"/>
              </w:rPr>
              <w:t>16.8%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1E0A1974" w14:textId="77777777" w:rsidR="00A36CBD" w:rsidRDefault="00A36CBD" w:rsidP="002761F1">
            <w:pPr>
              <w:spacing w:line="320" w:lineRule="atLeast"/>
              <w:ind w:left="60" w:right="60"/>
              <w:jc w:val="right"/>
              <w:rPr>
                <w:rFonts w:ascii="Arial" w:hAnsi="Arial"/>
                <w:sz w:val="18"/>
              </w:rPr>
            </w:pPr>
            <w:r>
              <w:rPr>
                <w:rFonts w:ascii="Arial" w:hAnsi="Arial"/>
                <w:sz w:val="18"/>
              </w:rPr>
              <w:t>16.8%</w:t>
            </w:r>
          </w:p>
        </w:tc>
      </w:tr>
      <w:tr w:rsidR="00A36CBD" w14:paraId="3EE5DEB9"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20BA7CBB"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2D4FE435"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6CF289A9" w14:textId="77777777" w:rsidR="00A36CBD" w:rsidRDefault="00A36CBD" w:rsidP="002761F1">
            <w:pPr>
              <w:spacing w:line="320" w:lineRule="atLeast"/>
              <w:ind w:left="60" w:right="60"/>
              <w:rPr>
                <w:rFonts w:ascii="Arial" w:hAnsi="Arial"/>
                <w:sz w:val="18"/>
              </w:rPr>
            </w:pPr>
            <w:r>
              <w:rPr>
                <w:rFonts w:ascii="Arial" w:hAnsi="Arial"/>
                <w:sz w:val="18"/>
              </w:rPr>
              <w:t>$75+</w:t>
            </w:r>
          </w:p>
        </w:tc>
        <w:tc>
          <w:tcPr>
            <w:tcW w:w="736" w:type="dxa"/>
            <w:tcBorders>
              <w:top w:val="nil"/>
              <w:left w:val="nil"/>
              <w:bottom w:val="nil"/>
              <w:right w:val="single" w:sz="16" w:space="0" w:color="000000"/>
              <w:tl2br w:val="nil"/>
              <w:tr2bl w:val="nil"/>
            </w:tcBorders>
            <w:shd w:val="clear" w:color="auto" w:fill="FFFFFF"/>
            <w:vAlign w:val="center"/>
          </w:tcPr>
          <w:p w14:paraId="2F981261"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7805E1FC" w14:textId="77777777" w:rsidR="00A36CBD" w:rsidRDefault="00A36CBD" w:rsidP="002761F1">
            <w:pPr>
              <w:spacing w:line="320" w:lineRule="atLeast"/>
              <w:ind w:left="60" w:right="60"/>
              <w:jc w:val="right"/>
              <w:rPr>
                <w:rFonts w:ascii="Arial" w:hAnsi="Arial"/>
                <w:sz w:val="18"/>
              </w:rPr>
            </w:pPr>
            <w:r>
              <w:rPr>
                <w:rFonts w:ascii="Arial" w:hAnsi="Arial"/>
                <w:sz w:val="18"/>
              </w:rPr>
              <w:t>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4BB7D15" w14:textId="77777777" w:rsidR="00A36CBD" w:rsidRDefault="00A36CBD" w:rsidP="002761F1">
            <w:pPr>
              <w:spacing w:line="320" w:lineRule="atLeast"/>
              <w:ind w:left="60" w:right="60"/>
              <w:jc w:val="right"/>
              <w:rPr>
                <w:rFonts w:ascii="Arial" w:hAnsi="Arial"/>
                <w:sz w:val="18"/>
              </w:rPr>
            </w:pPr>
            <w:r>
              <w:rPr>
                <w:rFonts w:ascii="Arial" w:hAnsi="Arial"/>
                <w:sz w:val="18"/>
              </w:rPr>
              <w:t>502</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77BA3DE8" w14:textId="77777777" w:rsidR="00A36CBD" w:rsidRDefault="00A36CBD" w:rsidP="002761F1">
            <w:pPr>
              <w:spacing w:line="320" w:lineRule="atLeast"/>
              <w:ind w:left="60" w:right="60"/>
              <w:jc w:val="right"/>
              <w:rPr>
                <w:rFonts w:ascii="Arial" w:hAnsi="Arial"/>
                <w:sz w:val="18"/>
              </w:rPr>
            </w:pPr>
            <w:r>
              <w:rPr>
                <w:rFonts w:ascii="Arial" w:hAnsi="Arial"/>
                <w:sz w:val="18"/>
              </w:rPr>
              <w:t>502</w:t>
            </w:r>
          </w:p>
        </w:tc>
      </w:tr>
      <w:tr w:rsidR="00A36CBD" w14:paraId="560AACF9"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139E3959"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380AD284"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123ADADD"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76EAF9A4"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F7812F9" w14:textId="77777777" w:rsidR="00A36CBD" w:rsidRDefault="00A36CBD" w:rsidP="002761F1">
            <w:pPr>
              <w:spacing w:line="320" w:lineRule="atLeast"/>
              <w:ind w:left="60" w:right="60"/>
              <w:jc w:val="right"/>
              <w:rPr>
                <w:rFonts w:ascii="Arial" w:hAnsi="Arial"/>
                <w:sz w:val="18"/>
              </w:rPr>
            </w:pPr>
            <w:r>
              <w:rPr>
                <w:rFonts w:ascii="Arial" w:hAnsi="Arial"/>
                <w:sz w:val="18"/>
              </w:rPr>
              <w:t>0.0%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2C7CA0D1" w14:textId="77777777" w:rsidR="00A36CBD" w:rsidRDefault="00A36CBD" w:rsidP="002761F1">
            <w:pPr>
              <w:spacing w:line="320" w:lineRule="atLeast"/>
              <w:ind w:left="60" w:right="60"/>
              <w:jc w:val="right"/>
              <w:rPr>
                <w:rFonts w:ascii="Arial" w:hAnsi="Arial"/>
                <w:sz w:val="18"/>
              </w:rPr>
            </w:pPr>
            <w:r>
              <w:rPr>
                <w:rFonts w:ascii="Arial" w:hAnsi="Arial"/>
                <w:sz w:val="18"/>
              </w:rPr>
              <w:t>25.9%</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44323AE8" w14:textId="77777777" w:rsidR="00A36CBD" w:rsidRDefault="00A36CBD" w:rsidP="002761F1">
            <w:pPr>
              <w:spacing w:line="320" w:lineRule="atLeast"/>
              <w:ind w:left="60" w:right="60"/>
              <w:jc w:val="right"/>
              <w:rPr>
                <w:rFonts w:ascii="Arial" w:hAnsi="Arial"/>
                <w:sz w:val="18"/>
              </w:rPr>
            </w:pPr>
            <w:r>
              <w:rPr>
                <w:rFonts w:ascii="Arial" w:hAnsi="Arial"/>
                <w:sz w:val="18"/>
              </w:rPr>
              <w:t>25.9%</w:t>
            </w:r>
          </w:p>
        </w:tc>
      </w:tr>
      <w:tr w:rsidR="00A36CBD" w14:paraId="4E457D54"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729AAC5D" w14:textId="77777777" w:rsidR="00A36CBD" w:rsidRDefault="00A36CBD" w:rsidP="002761F1">
            <w:pPr>
              <w:rPr>
                <w:rFonts w:ascii="Arial" w:hAnsi="Arial"/>
                <w:sz w:val="18"/>
              </w:rPr>
            </w:pPr>
          </w:p>
        </w:tc>
        <w:tc>
          <w:tcPr>
            <w:tcW w:w="3700" w:type="dxa"/>
            <w:gridSpan w:val="2"/>
            <w:vMerge w:val="restart"/>
            <w:tcBorders>
              <w:top w:val="nil"/>
              <w:left w:val="nil"/>
              <w:bottom w:val="nil"/>
              <w:right w:val="nil"/>
              <w:tl2br w:val="nil"/>
              <w:tr2bl w:val="nil"/>
            </w:tcBorders>
            <w:shd w:val="clear" w:color="auto" w:fill="FFFFFF"/>
            <w:vAlign w:val="center"/>
          </w:tcPr>
          <w:p w14:paraId="32D358CF" w14:textId="77777777" w:rsidR="00A36CBD" w:rsidRDefault="00A36CBD" w:rsidP="002761F1">
            <w:pPr>
              <w:spacing w:line="320" w:lineRule="atLeast"/>
              <w:ind w:left="60" w:right="60"/>
              <w:rPr>
                <w:rFonts w:ascii="Arial" w:hAnsi="Arial"/>
                <w:sz w:val="18"/>
              </w:rPr>
            </w:pPr>
            <w:r>
              <w:rPr>
                <w:rFonts w:ascii="Arial" w:hAnsi="Arial"/>
                <w:sz w:val="18"/>
              </w:rPr>
              <w:t>Total</w:t>
            </w:r>
          </w:p>
        </w:tc>
        <w:tc>
          <w:tcPr>
            <w:tcW w:w="736" w:type="dxa"/>
            <w:tcBorders>
              <w:top w:val="nil"/>
              <w:left w:val="nil"/>
              <w:bottom w:val="nil"/>
              <w:right w:val="single" w:sz="16" w:space="0" w:color="000000"/>
              <w:tl2br w:val="nil"/>
              <w:tr2bl w:val="nil"/>
            </w:tcBorders>
            <w:shd w:val="clear" w:color="auto" w:fill="FFFFFF"/>
            <w:vAlign w:val="center"/>
          </w:tcPr>
          <w:p w14:paraId="7102BBC3"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0EA1B62" w14:textId="77777777" w:rsidR="00A36CBD" w:rsidRDefault="00A36CBD" w:rsidP="002761F1">
            <w:pPr>
              <w:spacing w:line="320" w:lineRule="atLeast"/>
              <w:ind w:left="60" w:right="60"/>
              <w:jc w:val="right"/>
              <w:rPr>
                <w:rFonts w:ascii="Arial" w:hAnsi="Arial"/>
                <w:sz w:val="18"/>
              </w:rPr>
            </w:pPr>
            <w:r>
              <w:rPr>
                <w:rFonts w:ascii="Arial" w:hAnsi="Arial"/>
                <w:sz w:val="18"/>
              </w:rPr>
              <w:t>77</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02935AE" w14:textId="77777777" w:rsidR="00A36CBD" w:rsidRDefault="00A36CBD" w:rsidP="002761F1">
            <w:pPr>
              <w:spacing w:line="320" w:lineRule="atLeast"/>
              <w:ind w:left="60" w:right="60"/>
              <w:jc w:val="right"/>
              <w:rPr>
                <w:rFonts w:ascii="Arial" w:hAnsi="Arial"/>
                <w:sz w:val="18"/>
              </w:rPr>
            </w:pPr>
            <w:r>
              <w:rPr>
                <w:rFonts w:ascii="Arial" w:hAnsi="Arial"/>
                <w:sz w:val="18"/>
              </w:rPr>
              <w:t>1859</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47FCF4BB" w14:textId="77777777" w:rsidR="00A36CBD" w:rsidRDefault="00A36CBD" w:rsidP="002761F1">
            <w:pPr>
              <w:spacing w:line="320" w:lineRule="atLeast"/>
              <w:ind w:left="60" w:right="60"/>
              <w:jc w:val="right"/>
              <w:rPr>
                <w:rFonts w:ascii="Arial" w:hAnsi="Arial"/>
                <w:sz w:val="18"/>
              </w:rPr>
            </w:pPr>
            <w:r>
              <w:rPr>
                <w:rFonts w:ascii="Arial" w:hAnsi="Arial"/>
                <w:sz w:val="18"/>
              </w:rPr>
              <w:t>1936</w:t>
            </w:r>
          </w:p>
        </w:tc>
      </w:tr>
      <w:tr w:rsidR="00A36CBD" w14:paraId="6A9A1CEA"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5AE5EE1C" w14:textId="77777777" w:rsidR="00A36CBD" w:rsidRDefault="00A36CBD" w:rsidP="002761F1">
            <w:pPr>
              <w:rPr>
                <w:rFonts w:ascii="Arial" w:hAnsi="Arial"/>
                <w:sz w:val="18"/>
              </w:rPr>
            </w:pPr>
          </w:p>
        </w:tc>
        <w:tc>
          <w:tcPr>
            <w:tcW w:w="3700" w:type="dxa"/>
            <w:gridSpan w:val="2"/>
            <w:vMerge/>
            <w:tcBorders>
              <w:top w:val="nil"/>
              <w:left w:val="nil"/>
              <w:bottom w:val="nil"/>
              <w:right w:val="nil"/>
              <w:tl2br w:val="nil"/>
              <w:tr2bl w:val="nil"/>
            </w:tcBorders>
            <w:shd w:val="clear" w:color="auto" w:fill="FFFFFF"/>
            <w:vAlign w:val="center"/>
          </w:tcPr>
          <w:p w14:paraId="41EC85E8"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29D9F80A"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A0D5A8C" w14:textId="77777777" w:rsidR="00A36CBD" w:rsidRDefault="00A36CBD" w:rsidP="002761F1">
            <w:pPr>
              <w:spacing w:line="320" w:lineRule="atLeast"/>
              <w:ind w:left="60" w:right="60"/>
              <w:jc w:val="right"/>
              <w:rPr>
                <w:rFonts w:ascii="Arial" w:hAnsi="Arial"/>
                <w:sz w:val="18"/>
              </w:rPr>
            </w:pPr>
            <w:r>
              <w:rPr>
                <w:rFonts w:ascii="Arial" w:hAnsi="Arial"/>
                <w:sz w:val="18"/>
              </w:rPr>
              <w:t>4.0%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5D576833" w14:textId="77777777" w:rsidR="00A36CBD" w:rsidRDefault="00A36CBD" w:rsidP="002761F1">
            <w:pPr>
              <w:spacing w:line="320" w:lineRule="atLeast"/>
              <w:ind w:left="60" w:right="60"/>
              <w:jc w:val="right"/>
              <w:rPr>
                <w:rFonts w:ascii="Arial" w:hAnsi="Arial"/>
                <w:sz w:val="18"/>
              </w:rPr>
            </w:pPr>
            <w:r>
              <w:rPr>
                <w:rFonts w:ascii="Arial" w:hAnsi="Arial"/>
                <w:sz w:val="18"/>
              </w:rPr>
              <w:t>96.0%</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7D456755" w14:textId="77777777" w:rsidR="00A36CBD" w:rsidRDefault="00A36CBD" w:rsidP="002761F1">
            <w:pPr>
              <w:spacing w:line="320" w:lineRule="atLeast"/>
              <w:ind w:left="60" w:right="60"/>
              <w:jc w:val="right"/>
              <w:rPr>
                <w:rFonts w:ascii="Arial" w:hAnsi="Arial"/>
                <w:sz w:val="18"/>
              </w:rPr>
            </w:pPr>
            <w:r>
              <w:rPr>
                <w:rFonts w:ascii="Arial" w:hAnsi="Arial"/>
                <w:sz w:val="18"/>
              </w:rPr>
              <w:t>100.0%</w:t>
            </w:r>
          </w:p>
        </w:tc>
      </w:tr>
      <w:tr w:rsidR="00A36CBD" w14:paraId="73CB22F8" w14:textId="77777777" w:rsidTr="002761F1">
        <w:trPr>
          <w:cantSplit/>
        </w:trPr>
        <w:tc>
          <w:tcPr>
            <w:tcW w:w="2510" w:type="dxa"/>
            <w:vMerge w:val="restart"/>
            <w:tcBorders>
              <w:top w:val="nil"/>
              <w:left w:val="single" w:sz="16" w:space="0" w:color="000000"/>
              <w:bottom w:val="nil"/>
              <w:right w:val="nil"/>
              <w:tl2br w:val="nil"/>
              <w:tr2bl w:val="nil"/>
            </w:tcBorders>
            <w:shd w:val="clear" w:color="auto" w:fill="FFFFFF"/>
            <w:vAlign w:val="center"/>
          </w:tcPr>
          <w:p w14:paraId="355432B9" w14:textId="77777777" w:rsidR="00A36CBD" w:rsidRDefault="00A36CBD" w:rsidP="002761F1">
            <w:pPr>
              <w:spacing w:line="320" w:lineRule="atLeast"/>
              <w:ind w:left="60" w:right="60"/>
              <w:rPr>
                <w:rFonts w:ascii="Arial" w:hAnsi="Arial"/>
                <w:sz w:val="18"/>
              </w:rPr>
            </w:pPr>
            <w:r>
              <w:rPr>
                <w:rFonts w:ascii="Arial" w:hAnsi="Arial"/>
                <w:sz w:val="18"/>
              </w:rPr>
              <w:t>Some college</w:t>
            </w:r>
          </w:p>
        </w:tc>
        <w:tc>
          <w:tcPr>
            <w:tcW w:w="2509" w:type="dxa"/>
            <w:vMerge w:val="restart"/>
            <w:tcBorders>
              <w:top w:val="nil"/>
              <w:left w:val="nil"/>
              <w:bottom w:val="nil"/>
              <w:right w:val="nil"/>
              <w:tl2br w:val="nil"/>
              <w:tr2bl w:val="nil"/>
            </w:tcBorders>
            <w:shd w:val="clear" w:color="auto" w:fill="FFFFFF"/>
            <w:vAlign w:val="center"/>
          </w:tcPr>
          <w:p w14:paraId="7A2AA464" w14:textId="77777777" w:rsidR="00A36CBD" w:rsidRDefault="00A36CBD" w:rsidP="002761F1">
            <w:pPr>
              <w:spacing w:line="320" w:lineRule="atLeast"/>
              <w:ind w:left="60" w:right="60"/>
              <w:rPr>
                <w:rFonts w:ascii="Arial" w:hAnsi="Arial"/>
                <w:sz w:val="18"/>
              </w:rPr>
            </w:pPr>
            <w:r>
              <w:rPr>
                <w:rFonts w:ascii="Arial" w:hAnsi="Arial"/>
                <w:sz w:val="18"/>
              </w:rPr>
              <w:t>Income category in thousands</w:t>
            </w:r>
          </w:p>
        </w:tc>
        <w:tc>
          <w:tcPr>
            <w:tcW w:w="1191" w:type="dxa"/>
            <w:vMerge w:val="restart"/>
            <w:tcBorders>
              <w:top w:val="nil"/>
              <w:left w:val="nil"/>
              <w:bottom w:val="nil"/>
              <w:right w:val="nil"/>
              <w:tl2br w:val="nil"/>
              <w:tr2bl w:val="nil"/>
            </w:tcBorders>
            <w:shd w:val="clear" w:color="auto" w:fill="FFFFFF"/>
            <w:vAlign w:val="center"/>
          </w:tcPr>
          <w:p w14:paraId="50F19194" w14:textId="77777777" w:rsidR="00A36CBD" w:rsidRDefault="00A36CBD" w:rsidP="002761F1">
            <w:pPr>
              <w:spacing w:line="320" w:lineRule="atLeast"/>
              <w:ind w:left="60" w:right="60"/>
              <w:rPr>
                <w:rFonts w:ascii="Arial" w:hAnsi="Arial"/>
                <w:sz w:val="18"/>
              </w:rPr>
            </w:pPr>
            <w:r>
              <w:rPr>
                <w:rFonts w:ascii="Arial" w:hAnsi="Arial"/>
                <w:sz w:val="18"/>
              </w:rPr>
              <w:t>Under $25</w:t>
            </w:r>
          </w:p>
        </w:tc>
        <w:tc>
          <w:tcPr>
            <w:tcW w:w="736" w:type="dxa"/>
            <w:tcBorders>
              <w:top w:val="nil"/>
              <w:left w:val="nil"/>
              <w:bottom w:val="nil"/>
              <w:right w:val="single" w:sz="16" w:space="0" w:color="000000"/>
              <w:tl2br w:val="nil"/>
              <w:tr2bl w:val="nil"/>
            </w:tcBorders>
            <w:shd w:val="clear" w:color="auto" w:fill="FFFFFF"/>
            <w:vAlign w:val="center"/>
          </w:tcPr>
          <w:p w14:paraId="5E6AC157"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408819FF" w14:textId="77777777" w:rsidR="00A36CBD" w:rsidRDefault="00A36CBD" w:rsidP="002761F1">
            <w:pPr>
              <w:spacing w:line="320" w:lineRule="atLeast"/>
              <w:ind w:left="60" w:right="60"/>
              <w:jc w:val="right"/>
              <w:rPr>
                <w:rFonts w:ascii="Arial" w:hAnsi="Arial"/>
                <w:sz w:val="18"/>
              </w:rPr>
            </w:pPr>
            <w:r>
              <w:rPr>
                <w:rFonts w:ascii="Arial" w:hAnsi="Arial"/>
                <w:sz w:val="18"/>
              </w:rPr>
              <w:t>45</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405A1AFC" w14:textId="77777777" w:rsidR="00A36CBD" w:rsidRDefault="00A36CBD" w:rsidP="002761F1">
            <w:pPr>
              <w:spacing w:line="320" w:lineRule="atLeast"/>
              <w:ind w:left="60" w:right="60"/>
              <w:jc w:val="right"/>
              <w:rPr>
                <w:rFonts w:ascii="Arial" w:hAnsi="Arial"/>
                <w:sz w:val="18"/>
              </w:rPr>
            </w:pPr>
            <w:r>
              <w:rPr>
                <w:rFonts w:ascii="Arial" w:hAnsi="Arial"/>
                <w:sz w:val="18"/>
              </w:rPr>
              <w:t>196</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BCA1D19" w14:textId="77777777" w:rsidR="00A36CBD" w:rsidRDefault="00A36CBD" w:rsidP="002761F1">
            <w:pPr>
              <w:spacing w:line="320" w:lineRule="atLeast"/>
              <w:ind w:left="60" w:right="60"/>
              <w:jc w:val="right"/>
              <w:rPr>
                <w:rFonts w:ascii="Arial" w:hAnsi="Arial"/>
                <w:sz w:val="18"/>
              </w:rPr>
            </w:pPr>
            <w:r>
              <w:rPr>
                <w:rFonts w:ascii="Arial" w:hAnsi="Arial"/>
                <w:sz w:val="18"/>
              </w:rPr>
              <w:t>241</w:t>
            </w:r>
          </w:p>
        </w:tc>
      </w:tr>
      <w:tr w:rsidR="00A36CBD" w14:paraId="5CD71B4B"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53096A98"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2B4B35A4"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7F55A80B"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141CBB8A"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D535541" w14:textId="77777777" w:rsidR="00A36CBD" w:rsidRDefault="00A36CBD" w:rsidP="002761F1">
            <w:pPr>
              <w:spacing w:line="320" w:lineRule="atLeast"/>
              <w:ind w:left="60" w:right="60"/>
              <w:jc w:val="right"/>
              <w:rPr>
                <w:rFonts w:ascii="Arial" w:hAnsi="Arial"/>
                <w:sz w:val="18"/>
              </w:rPr>
            </w:pPr>
            <w:r>
              <w:rPr>
                <w:rFonts w:ascii="Arial" w:hAnsi="Arial"/>
                <w:sz w:val="18"/>
              </w:rPr>
              <w:t>3.3%</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70FA7A53" w14:textId="77777777" w:rsidR="00A36CBD" w:rsidRDefault="00A36CBD" w:rsidP="002761F1">
            <w:pPr>
              <w:spacing w:line="320" w:lineRule="atLeast"/>
              <w:ind w:left="60" w:right="60"/>
              <w:jc w:val="right"/>
              <w:rPr>
                <w:rFonts w:ascii="Arial" w:hAnsi="Arial"/>
                <w:sz w:val="18"/>
              </w:rPr>
            </w:pPr>
            <w:r>
              <w:rPr>
                <w:rFonts w:ascii="Arial" w:hAnsi="Arial"/>
                <w:sz w:val="18"/>
              </w:rPr>
              <w:t>14.4%</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433A894" w14:textId="77777777" w:rsidR="00A36CBD" w:rsidRDefault="00A36CBD" w:rsidP="002761F1">
            <w:pPr>
              <w:spacing w:line="320" w:lineRule="atLeast"/>
              <w:ind w:left="60" w:right="60"/>
              <w:jc w:val="right"/>
              <w:rPr>
                <w:rFonts w:ascii="Arial" w:hAnsi="Arial"/>
                <w:sz w:val="18"/>
              </w:rPr>
            </w:pPr>
            <w:r>
              <w:rPr>
                <w:rFonts w:ascii="Arial" w:hAnsi="Arial"/>
                <w:sz w:val="18"/>
              </w:rPr>
              <w:t>17.7%</w:t>
            </w:r>
          </w:p>
        </w:tc>
      </w:tr>
      <w:tr w:rsidR="00A36CBD" w14:paraId="50F5655E"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433EEACE"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5FC2C384"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4DD38142" w14:textId="77777777" w:rsidR="00A36CBD" w:rsidRDefault="00A36CBD" w:rsidP="002761F1">
            <w:pPr>
              <w:spacing w:line="320" w:lineRule="atLeast"/>
              <w:ind w:left="60" w:right="60"/>
              <w:rPr>
                <w:rFonts w:ascii="Arial" w:hAnsi="Arial"/>
                <w:sz w:val="18"/>
              </w:rPr>
            </w:pPr>
            <w:r>
              <w:rPr>
                <w:rFonts w:ascii="Arial" w:hAnsi="Arial"/>
                <w:sz w:val="18"/>
              </w:rPr>
              <w:t>$25 - $49</w:t>
            </w:r>
          </w:p>
        </w:tc>
        <w:tc>
          <w:tcPr>
            <w:tcW w:w="736" w:type="dxa"/>
            <w:tcBorders>
              <w:top w:val="nil"/>
              <w:left w:val="nil"/>
              <w:bottom w:val="nil"/>
              <w:right w:val="single" w:sz="16" w:space="0" w:color="000000"/>
              <w:tl2br w:val="nil"/>
              <w:tr2bl w:val="nil"/>
            </w:tcBorders>
            <w:shd w:val="clear" w:color="auto" w:fill="FFFFFF"/>
            <w:vAlign w:val="center"/>
          </w:tcPr>
          <w:p w14:paraId="4612A6CE"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549600E8" w14:textId="77777777" w:rsidR="00A36CBD" w:rsidRDefault="00A36CBD" w:rsidP="002761F1">
            <w:pPr>
              <w:spacing w:line="320" w:lineRule="atLeast"/>
              <w:ind w:left="60" w:right="60"/>
              <w:jc w:val="right"/>
              <w:rPr>
                <w:rFonts w:ascii="Arial" w:hAnsi="Arial"/>
                <w:sz w:val="18"/>
              </w:rPr>
            </w:pPr>
            <w:r>
              <w:rPr>
                <w:rFonts w:ascii="Arial" w:hAnsi="Arial"/>
                <w:sz w:val="18"/>
              </w:rPr>
              <w:t>16</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9AD967B" w14:textId="77777777" w:rsidR="00A36CBD" w:rsidRDefault="00A36CBD" w:rsidP="002761F1">
            <w:pPr>
              <w:spacing w:line="320" w:lineRule="atLeast"/>
              <w:ind w:left="60" w:right="60"/>
              <w:jc w:val="right"/>
              <w:rPr>
                <w:rFonts w:ascii="Arial" w:hAnsi="Arial"/>
                <w:sz w:val="18"/>
              </w:rPr>
            </w:pPr>
            <w:r>
              <w:rPr>
                <w:rFonts w:ascii="Arial" w:hAnsi="Arial"/>
                <w:sz w:val="18"/>
              </w:rPr>
              <w:t>495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3372AA20" w14:textId="77777777" w:rsidR="00A36CBD" w:rsidRDefault="00A36CBD" w:rsidP="002761F1">
            <w:pPr>
              <w:spacing w:line="320" w:lineRule="atLeast"/>
              <w:ind w:left="60" w:right="60"/>
              <w:jc w:val="right"/>
              <w:rPr>
                <w:rFonts w:ascii="Arial" w:hAnsi="Arial"/>
                <w:sz w:val="18"/>
              </w:rPr>
            </w:pPr>
            <w:r>
              <w:rPr>
                <w:rFonts w:ascii="Arial" w:hAnsi="Arial"/>
                <w:sz w:val="18"/>
              </w:rPr>
              <w:t>511</w:t>
            </w:r>
          </w:p>
        </w:tc>
      </w:tr>
      <w:tr w:rsidR="00A36CBD" w14:paraId="67495ED4"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713E9585"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8FB0F5F"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22897353"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0E19F964"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5813AB0" w14:textId="77777777" w:rsidR="00A36CBD" w:rsidRDefault="00A36CBD" w:rsidP="002761F1">
            <w:pPr>
              <w:spacing w:line="320" w:lineRule="atLeast"/>
              <w:ind w:left="60" w:right="60"/>
              <w:jc w:val="right"/>
              <w:rPr>
                <w:rFonts w:ascii="Arial" w:hAnsi="Arial"/>
                <w:sz w:val="18"/>
              </w:rPr>
            </w:pPr>
            <w:r>
              <w:rPr>
                <w:rFonts w:ascii="Arial" w:hAnsi="Arial"/>
                <w:sz w:val="18"/>
              </w:rPr>
              <w:t>1.2%</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9B51EBF" w14:textId="77777777" w:rsidR="00A36CBD" w:rsidRDefault="00A36CBD" w:rsidP="002761F1">
            <w:pPr>
              <w:spacing w:line="320" w:lineRule="atLeast"/>
              <w:ind w:left="60" w:right="60"/>
              <w:jc w:val="right"/>
              <w:rPr>
                <w:rFonts w:ascii="Arial" w:hAnsi="Arial"/>
                <w:sz w:val="18"/>
              </w:rPr>
            </w:pPr>
            <w:r>
              <w:rPr>
                <w:rFonts w:ascii="Arial" w:hAnsi="Arial"/>
                <w:sz w:val="18"/>
              </w:rPr>
              <w:t>36.4%</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46950B0" w14:textId="77777777" w:rsidR="00A36CBD" w:rsidRDefault="00A36CBD" w:rsidP="002761F1">
            <w:pPr>
              <w:spacing w:line="320" w:lineRule="atLeast"/>
              <w:ind w:left="60" w:right="60"/>
              <w:jc w:val="right"/>
              <w:rPr>
                <w:rFonts w:ascii="Arial" w:hAnsi="Arial"/>
                <w:sz w:val="18"/>
              </w:rPr>
            </w:pPr>
            <w:r>
              <w:rPr>
                <w:rFonts w:ascii="Arial" w:hAnsi="Arial"/>
                <w:sz w:val="18"/>
              </w:rPr>
              <w:t>37.6%</w:t>
            </w:r>
          </w:p>
        </w:tc>
      </w:tr>
      <w:tr w:rsidR="00A36CBD" w14:paraId="24D29988"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04C7E4A1"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39AA066"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5E082D76" w14:textId="77777777" w:rsidR="00A36CBD" w:rsidRDefault="00A36CBD" w:rsidP="002761F1">
            <w:pPr>
              <w:spacing w:line="320" w:lineRule="atLeast"/>
              <w:ind w:left="60" w:right="60"/>
              <w:rPr>
                <w:rFonts w:ascii="Arial" w:hAnsi="Arial"/>
                <w:sz w:val="18"/>
              </w:rPr>
            </w:pPr>
            <w:r>
              <w:rPr>
                <w:rFonts w:ascii="Arial" w:hAnsi="Arial"/>
                <w:sz w:val="18"/>
              </w:rPr>
              <w:t>$50 - $74</w:t>
            </w:r>
          </w:p>
        </w:tc>
        <w:tc>
          <w:tcPr>
            <w:tcW w:w="736" w:type="dxa"/>
            <w:tcBorders>
              <w:top w:val="nil"/>
              <w:left w:val="nil"/>
              <w:bottom w:val="nil"/>
              <w:right w:val="single" w:sz="16" w:space="0" w:color="000000"/>
              <w:tl2br w:val="nil"/>
              <w:tr2bl w:val="nil"/>
            </w:tcBorders>
            <w:shd w:val="clear" w:color="auto" w:fill="FFFFFF"/>
            <w:vAlign w:val="center"/>
          </w:tcPr>
          <w:p w14:paraId="7AC501D9"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72E4D6F1" w14:textId="77777777" w:rsidR="00A36CBD" w:rsidRDefault="00A36CBD" w:rsidP="002761F1">
            <w:pPr>
              <w:spacing w:line="320" w:lineRule="atLeast"/>
              <w:ind w:left="60" w:right="60"/>
              <w:jc w:val="right"/>
              <w:rPr>
                <w:rFonts w:ascii="Arial" w:hAnsi="Arial"/>
                <w:sz w:val="18"/>
              </w:rPr>
            </w:pPr>
            <w:r>
              <w:rPr>
                <w:rFonts w:ascii="Arial" w:hAnsi="Arial"/>
                <w:sz w:val="18"/>
              </w:rPr>
              <w:t>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5016D828" w14:textId="77777777" w:rsidR="00A36CBD" w:rsidRDefault="00A36CBD" w:rsidP="002761F1">
            <w:pPr>
              <w:spacing w:line="320" w:lineRule="atLeast"/>
              <w:ind w:left="60" w:right="60"/>
              <w:jc w:val="right"/>
              <w:rPr>
                <w:rFonts w:ascii="Arial" w:hAnsi="Arial"/>
                <w:sz w:val="18"/>
              </w:rPr>
            </w:pPr>
            <w:r>
              <w:rPr>
                <w:rFonts w:ascii="Arial" w:hAnsi="Arial"/>
                <w:sz w:val="18"/>
              </w:rPr>
              <w:t>248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176F5312" w14:textId="77777777" w:rsidR="00A36CBD" w:rsidRDefault="00A36CBD" w:rsidP="002761F1">
            <w:pPr>
              <w:spacing w:line="320" w:lineRule="atLeast"/>
              <w:ind w:left="60" w:right="60"/>
              <w:jc w:val="right"/>
              <w:rPr>
                <w:rFonts w:ascii="Arial" w:hAnsi="Arial"/>
                <w:sz w:val="18"/>
              </w:rPr>
            </w:pPr>
            <w:r>
              <w:rPr>
                <w:rFonts w:ascii="Arial" w:hAnsi="Arial"/>
                <w:sz w:val="18"/>
              </w:rPr>
              <w:t>248</w:t>
            </w:r>
          </w:p>
        </w:tc>
      </w:tr>
      <w:tr w:rsidR="00A36CBD" w14:paraId="2B0F938D"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3E58AE87"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6B2C4CC1"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1D896E8B"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3C6289A9"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B47F6F5" w14:textId="77777777" w:rsidR="00A36CBD" w:rsidRDefault="00A36CBD" w:rsidP="002761F1">
            <w:pPr>
              <w:spacing w:line="320" w:lineRule="atLeast"/>
              <w:ind w:left="60" w:right="60"/>
              <w:jc w:val="right"/>
              <w:rPr>
                <w:rFonts w:ascii="Arial" w:hAnsi="Arial"/>
                <w:sz w:val="18"/>
              </w:rPr>
            </w:pPr>
            <w:r>
              <w:rPr>
                <w:rFonts w:ascii="Arial" w:hAnsi="Arial"/>
                <w:sz w:val="18"/>
              </w:rPr>
              <w:t>0.0%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2D9D153" w14:textId="77777777" w:rsidR="00A36CBD" w:rsidRDefault="00A36CBD" w:rsidP="002761F1">
            <w:pPr>
              <w:spacing w:line="320" w:lineRule="atLeast"/>
              <w:ind w:left="60" w:right="60"/>
              <w:jc w:val="right"/>
              <w:rPr>
                <w:rFonts w:ascii="Arial" w:hAnsi="Arial"/>
                <w:sz w:val="18"/>
              </w:rPr>
            </w:pPr>
            <w:r>
              <w:rPr>
                <w:rFonts w:ascii="Arial" w:hAnsi="Arial"/>
                <w:sz w:val="18"/>
              </w:rPr>
              <w:t>18.2%</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79401918" w14:textId="77777777" w:rsidR="00A36CBD" w:rsidRDefault="00A36CBD" w:rsidP="002761F1">
            <w:pPr>
              <w:spacing w:line="320" w:lineRule="atLeast"/>
              <w:ind w:left="60" w:right="60"/>
              <w:jc w:val="right"/>
              <w:rPr>
                <w:rFonts w:ascii="Arial" w:hAnsi="Arial"/>
                <w:sz w:val="18"/>
              </w:rPr>
            </w:pPr>
            <w:r>
              <w:rPr>
                <w:rFonts w:ascii="Arial" w:hAnsi="Arial"/>
                <w:sz w:val="18"/>
              </w:rPr>
              <w:t>18.2%</w:t>
            </w:r>
          </w:p>
        </w:tc>
      </w:tr>
      <w:tr w:rsidR="00A36CBD" w14:paraId="536383C5"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0F9C4CEF"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7A4035F3"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0C62B646" w14:textId="77777777" w:rsidR="00A36CBD" w:rsidRDefault="00A36CBD" w:rsidP="002761F1">
            <w:pPr>
              <w:spacing w:line="320" w:lineRule="atLeast"/>
              <w:ind w:left="60" w:right="60"/>
              <w:rPr>
                <w:rFonts w:ascii="Arial" w:hAnsi="Arial"/>
                <w:sz w:val="18"/>
              </w:rPr>
            </w:pPr>
            <w:r>
              <w:rPr>
                <w:rFonts w:ascii="Arial" w:hAnsi="Arial"/>
                <w:sz w:val="18"/>
              </w:rPr>
              <w:t>$75+</w:t>
            </w:r>
          </w:p>
        </w:tc>
        <w:tc>
          <w:tcPr>
            <w:tcW w:w="736" w:type="dxa"/>
            <w:tcBorders>
              <w:top w:val="nil"/>
              <w:left w:val="nil"/>
              <w:bottom w:val="nil"/>
              <w:right w:val="single" w:sz="16" w:space="0" w:color="000000"/>
              <w:tl2br w:val="nil"/>
              <w:tr2bl w:val="nil"/>
            </w:tcBorders>
            <w:shd w:val="clear" w:color="auto" w:fill="FFFFFF"/>
            <w:vAlign w:val="center"/>
          </w:tcPr>
          <w:p w14:paraId="41F74CCF"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474A6F93" w14:textId="77777777" w:rsidR="00A36CBD" w:rsidRDefault="00A36CBD" w:rsidP="002761F1">
            <w:pPr>
              <w:spacing w:line="320" w:lineRule="atLeast"/>
              <w:ind w:left="60" w:right="60"/>
              <w:jc w:val="right"/>
              <w:rPr>
                <w:rFonts w:ascii="Arial" w:hAnsi="Arial"/>
                <w:sz w:val="18"/>
              </w:rPr>
            </w:pPr>
            <w:r>
              <w:rPr>
                <w:rFonts w:ascii="Arial" w:hAnsi="Arial"/>
                <w:sz w:val="18"/>
              </w:rPr>
              <w:t>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DA73418" w14:textId="77777777" w:rsidR="00A36CBD" w:rsidRDefault="00A36CBD" w:rsidP="002761F1">
            <w:pPr>
              <w:spacing w:line="320" w:lineRule="atLeast"/>
              <w:ind w:left="60" w:right="60"/>
              <w:jc w:val="right"/>
              <w:rPr>
                <w:rFonts w:ascii="Arial" w:hAnsi="Arial"/>
                <w:sz w:val="18"/>
              </w:rPr>
            </w:pPr>
            <w:r>
              <w:rPr>
                <w:rFonts w:ascii="Arial" w:hAnsi="Arial"/>
                <w:sz w:val="18"/>
              </w:rPr>
              <w:t>360</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62864074" w14:textId="77777777" w:rsidR="00A36CBD" w:rsidRDefault="00A36CBD" w:rsidP="002761F1">
            <w:pPr>
              <w:spacing w:line="320" w:lineRule="atLeast"/>
              <w:ind w:left="60" w:right="60"/>
              <w:jc w:val="right"/>
              <w:rPr>
                <w:rFonts w:ascii="Arial" w:hAnsi="Arial"/>
                <w:sz w:val="18"/>
              </w:rPr>
            </w:pPr>
            <w:r>
              <w:rPr>
                <w:rFonts w:ascii="Arial" w:hAnsi="Arial"/>
                <w:sz w:val="18"/>
              </w:rPr>
              <w:t>360</w:t>
            </w:r>
          </w:p>
        </w:tc>
      </w:tr>
      <w:tr w:rsidR="00A36CBD" w14:paraId="26CA9A59"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2BC31068"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75593893"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7ADC5496"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71A601FD"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08A73EB9" w14:textId="77777777" w:rsidR="00A36CBD" w:rsidRDefault="00A36CBD" w:rsidP="002761F1">
            <w:pPr>
              <w:spacing w:line="320" w:lineRule="atLeast"/>
              <w:ind w:left="60" w:right="60"/>
              <w:jc w:val="right"/>
              <w:rPr>
                <w:rFonts w:ascii="Arial" w:hAnsi="Arial"/>
                <w:sz w:val="18"/>
              </w:rPr>
            </w:pPr>
            <w:r>
              <w:rPr>
                <w:rFonts w:ascii="Arial" w:hAnsi="Arial"/>
                <w:sz w:val="18"/>
              </w:rPr>
              <w:t>0.0%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31E03C5" w14:textId="77777777" w:rsidR="00A36CBD" w:rsidRDefault="00A36CBD" w:rsidP="002761F1">
            <w:pPr>
              <w:spacing w:line="320" w:lineRule="atLeast"/>
              <w:ind w:left="60" w:right="60"/>
              <w:jc w:val="right"/>
              <w:rPr>
                <w:rFonts w:ascii="Arial" w:hAnsi="Arial"/>
                <w:sz w:val="18"/>
              </w:rPr>
            </w:pPr>
            <w:r>
              <w:rPr>
                <w:rFonts w:ascii="Arial" w:hAnsi="Arial"/>
                <w:sz w:val="18"/>
              </w:rPr>
              <w:t>26.5%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018357C4" w14:textId="77777777" w:rsidR="00A36CBD" w:rsidRDefault="00A36CBD" w:rsidP="002761F1">
            <w:pPr>
              <w:spacing w:line="320" w:lineRule="atLeast"/>
              <w:ind w:left="60" w:right="60"/>
              <w:jc w:val="right"/>
              <w:rPr>
                <w:rFonts w:ascii="Arial" w:hAnsi="Arial"/>
                <w:sz w:val="18"/>
              </w:rPr>
            </w:pPr>
            <w:r>
              <w:rPr>
                <w:rFonts w:ascii="Arial" w:hAnsi="Arial"/>
                <w:sz w:val="18"/>
              </w:rPr>
              <w:t>26.5%</w:t>
            </w:r>
          </w:p>
        </w:tc>
      </w:tr>
      <w:tr w:rsidR="00A36CBD" w14:paraId="7E44CC3B"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45901F40" w14:textId="77777777" w:rsidR="00A36CBD" w:rsidRDefault="00A36CBD" w:rsidP="002761F1">
            <w:pPr>
              <w:rPr>
                <w:rFonts w:ascii="Arial" w:hAnsi="Arial"/>
                <w:sz w:val="18"/>
              </w:rPr>
            </w:pPr>
          </w:p>
        </w:tc>
        <w:tc>
          <w:tcPr>
            <w:tcW w:w="3700" w:type="dxa"/>
            <w:gridSpan w:val="2"/>
            <w:vMerge w:val="restart"/>
            <w:tcBorders>
              <w:top w:val="nil"/>
              <w:left w:val="nil"/>
              <w:bottom w:val="nil"/>
              <w:right w:val="nil"/>
              <w:tl2br w:val="nil"/>
              <w:tr2bl w:val="nil"/>
            </w:tcBorders>
            <w:shd w:val="clear" w:color="auto" w:fill="FFFFFF"/>
            <w:vAlign w:val="center"/>
          </w:tcPr>
          <w:p w14:paraId="450BB434" w14:textId="77777777" w:rsidR="00A36CBD" w:rsidRDefault="00A36CBD" w:rsidP="002761F1">
            <w:pPr>
              <w:spacing w:line="320" w:lineRule="atLeast"/>
              <w:ind w:left="60" w:right="60"/>
              <w:rPr>
                <w:rFonts w:ascii="Arial" w:hAnsi="Arial"/>
                <w:sz w:val="18"/>
              </w:rPr>
            </w:pPr>
            <w:r>
              <w:rPr>
                <w:rFonts w:ascii="Arial" w:hAnsi="Arial"/>
                <w:sz w:val="18"/>
              </w:rPr>
              <w:t>Total</w:t>
            </w:r>
          </w:p>
        </w:tc>
        <w:tc>
          <w:tcPr>
            <w:tcW w:w="736" w:type="dxa"/>
            <w:tcBorders>
              <w:top w:val="nil"/>
              <w:left w:val="nil"/>
              <w:bottom w:val="nil"/>
              <w:right w:val="single" w:sz="16" w:space="0" w:color="000000"/>
              <w:tl2br w:val="nil"/>
              <w:tr2bl w:val="nil"/>
            </w:tcBorders>
            <w:shd w:val="clear" w:color="auto" w:fill="FFFFFF"/>
            <w:vAlign w:val="center"/>
          </w:tcPr>
          <w:p w14:paraId="6D0CF7DE"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58DFCB5" w14:textId="77777777" w:rsidR="00A36CBD" w:rsidRDefault="00A36CBD" w:rsidP="002761F1">
            <w:pPr>
              <w:spacing w:line="320" w:lineRule="atLeast"/>
              <w:ind w:left="60" w:right="60"/>
              <w:jc w:val="right"/>
              <w:rPr>
                <w:rFonts w:ascii="Arial" w:hAnsi="Arial"/>
                <w:sz w:val="18"/>
              </w:rPr>
            </w:pPr>
            <w:r>
              <w:rPr>
                <w:rFonts w:ascii="Arial" w:hAnsi="Arial"/>
                <w:sz w:val="18"/>
              </w:rPr>
              <w:t>61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5324655F" w14:textId="77777777" w:rsidR="00A36CBD" w:rsidRDefault="00A36CBD" w:rsidP="002761F1">
            <w:pPr>
              <w:spacing w:line="320" w:lineRule="atLeast"/>
              <w:ind w:left="60" w:right="60"/>
              <w:jc w:val="right"/>
              <w:rPr>
                <w:rFonts w:ascii="Arial" w:hAnsi="Arial"/>
                <w:sz w:val="18"/>
              </w:rPr>
            </w:pPr>
            <w:r>
              <w:rPr>
                <w:rFonts w:ascii="Arial" w:hAnsi="Arial"/>
                <w:sz w:val="18"/>
              </w:rPr>
              <w:t>1299</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3651E180" w14:textId="77777777" w:rsidR="00A36CBD" w:rsidRDefault="00A36CBD" w:rsidP="002761F1">
            <w:pPr>
              <w:spacing w:line="320" w:lineRule="atLeast"/>
              <w:ind w:left="60" w:right="60"/>
              <w:jc w:val="right"/>
              <w:rPr>
                <w:rFonts w:ascii="Arial" w:hAnsi="Arial"/>
                <w:sz w:val="18"/>
              </w:rPr>
            </w:pPr>
            <w:r>
              <w:rPr>
                <w:rFonts w:ascii="Arial" w:hAnsi="Arial"/>
                <w:sz w:val="18"/>
              </w:rPr>
              <w:t>1360</w:t>
            </w:r>
          </w:p>
        </w:tc>
      </w:tr>
      <w:tr w:rsidR="00A36CBD" w14:paraId="01AF4B2D"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305BE061" w14:textId="77777777" w:rsidR="00A36CBD" w:rsidRDefault="00A36CBD" w:rsidP="002761F1">
            <w:pPr>
              <w:rPr>
                <w:rFonts w:ascii="Arial" w:hAnsi="Arial"/>
                <w:sz w:val="18"/>
              </w:rPr>
            </w:pPr>
          </w:p>
        </w:tc>
        <w:tc>
          <w:tcPr>
            <w:tcW w:w="3700" w:type="dxa"/>
            <w:gridSpan w:val="2"/>
            <w:vMerge/>
            <w:tcBorders>
              <w:top w:val="nil"/>
              <w:left w:val="nil"/>
              <w:bottom w:val="nil"/>
              <w:right w:val="nil"/>
              <w:tl2br w:val="nil"/>
              <w:tr2bl w:val="nil"/>
            </w:tcBorders>
            <w:shd w:val="clear" w:color="auto" w:fill="FFFFFF"/>
            <w:vAlign w:val="center"/>
          </w:tcPr>
          <w:p w14:paraId="4FBBC746"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71D8A0B1"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E99A575" w14:textId="77777777" w:rsidR="00A36CBD" w:rsidRDefault="00A36CBD" w:rsidP="002761F1">
            <w:pPr>
              <w:spacing w:line="320" w:lineRule="atLeast"/>
              <w:ind w:left="60" w:right="60"/>
              <w:jc w:val="right"/>
              <w:rPr>
                <w:rFonts w:ascii="Arial" w:hAnsi="Arial"/>
                <w:sz w:val="18"/>
              </w:rPr>
            </w:pPr>
            <w:r>
              <w:rPr>
                <w:rFonts w:ascii="Arial" w:hAnsi="Arial"/>
                <w:sz w:val="18"/>
              </w:rPr>
              <w:t>4.5%</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76D366D" w14:textId="77777777" w:rsidR="00A36CBD" w:rsidRDefault="00A36CBD" w:rsidP="002761F1">
            <w:pPr>
              <w:spacing w:line="320" w:lineRule="atLeast"/>
              <w:ind w:left="60" w:right="60"/>
              <w:jc w:val="right"/>
              <w:rPr>
                <w:rFonts w:ascii="Arial" w:hAnsi="Arial"/>
                <w:sz w:val="18"/>
              </w:rPr>
            </w:pPr>
            <w:r>
              <w:rPr>
                <w:rFonts w:ascii="Arial" w:hAnsi="Arial"/>
                <w:sz w:val="18"/>
              </w:rPr>
              <w:t>95.5%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03CD9A90" w14:textId="77777777" w:rsidR="00A36CBD" w:rsidRDefault="00A36CBD" w:rsidP="002761F1">
            <w:pPr>
              <w:spacing w:line="320" w:lineRule="atLeast"/>
              <w:ind w:left="60" w:right="60"/>
              <w:jc w:val="right"/>
              <w:rPr>
                <w:rFonts w:ascii="Arial" w:hAnsi="Arial"/>
                <w:sz w:val="18"/>
              </w:rPr>
            </w:pPr>
            <w:r>
              <w:rPr>
                <w:rFonts w:ascii="Arial" w:hAnsi="Arial"/>
                <w:sz w:val="18"/>
              </w:rPr>
              <w:t>100.0%</w:t>
            </w:r>
          </w:p>
        </w:tc>
      </w:tr>
      <w:tr w:rsidR="00A36CBD" w14:paraId="4A0D09D6" w14:textId="77777777" w:rsidTr="002761F1">
        <w:trPr>
          <w:cantSplit/>
        </w:trPr>
        <w:tc>
          <w:tcPr>
            <w:tcW w:w="2510" w:type="dxa"/>
            <w:vMerge w:val="restart"/>
            <w:tcBorders>
              <w:top w:val="nil"/>
              <w:left w:val="single" w:sz="16" w:space="0" w:color="000000"/>
              <w:bottom w:val="nil"/>
              <w:right w:val="nil"/>
              <w:tl2br w:val="nil"/>
              <w:tr2bl w:val="nil"/>
            </w:tcBorders>
            <w:shd w:val="clear" w:color="auto" w:fill="FFFFFF"/>
            <w:vAlign w:val="center"/>
          </w:tcPr>
          <w:p w14:paraId="3CE3AE0D" w14:textId="77777777" w:rsidR="00A36CBD" w:rsidRDefault="00A36CBD" w:rsidP="002761F1">
            <w:pPr>
              <w:spacing w:line="320" w:lineRule="atLeast"/>
              <w:ind w:left="60" w:right="60"/>
              <w:rPr>
                <w:rFonts w:ascii="Arial" w:hAnsi="Arial"/>
                <w:sz w:val="18"/>
              </w:rPr>
            </w:pPr>
            <w:r>
              <w:rPr>
                <w:rFonts w:ascii="Arial" w:hAnsi="Arial"/>
                <w:sz w:val="18"/>
              </w:rPr>
              <w:t>College degree</w:t>
            </w:r>
          </w:p>
        </w:tc>
        <w:tc>
          <w:tcPr>
            <w:tcW w:w="2509" w:type="dxa"/>
            <w:vMerge w:val="restart"/>
            <w:tcBorders>
              <w:top w:val="nil"/>
              <w:left w:val="nil"/>
              <w:bottom w:val="nil"/>
              <w:right w:val="nil"/>
              <w:tl2br w:val="nil"/>
              <w:tr2bl w:val="nil"/>
            </w:tcBorders>
            <w:shd w:val="clear" w:color="auto" w:fill="FFFFFF"/>
            <w:vAlign w:val="center"/>
          </w:tcPr>
          <w:p w14:paraId="0599051E" w14:textId="77777777" w:rsidR="00A36CBD" w:rsidRDefault="00A36CBD" w:rsidP="002761F1">
            <w:pPr>
              <w:spacing w:line="320" w:lineRule="atLeast"/>
              <w:ind w:left="60" w:right="60"/>
              <w:rPr>
                <w:rFonts w:ascii="Arial" w:hAnsi="Arial"/>
                <w:sz w:val="18"/>
              </w:rPr>
            </w:pPr>
            <w:r>
              <w:rPr>
                <w:rFonts w:ascii="Arial" w:hAnsi="Arial"/>
                <w:sz w:val="18"/>
              </w:rPr>
              <w:t>Income category in thousands</w:t>
            </w:r>
          </w:p>
        </w:tc>
        <w:tc>
          <w:tcPr>
            <w:tcW w:w="1191" w:type="dxa"/>
            <w:vMerge w:val="restart"/>
            <w:tcBorders>
              <w:top w:val="nil"/>
              <w:left w:val="nil"/>
              <w:bottom w:val="nil"/>
              <w:right w:val="nil"/>
              <w:tl2br w:val="nil"/>
              <w:tr2bl w:val="nil"/>
            </w:tcBorders>
            <w:shd w:val="clear" w:color="auto" w:fill="FFFFFF"/>
            <w:vAlign w:val="center"/>
          </w:tcPr>
          <w:p w14:paraId="5A65F297" w14:textId="77777777" w:rsidR="00A36CBD" w:rsidRDefault="00A36CBD" w:rsidP="002761F1">
            <w:pPr>
              <w:spacing w:line="320" w:lineRule="atLeast"/>
              <w:ind w:left="60" w:right="60"/>
              <w:rPr>
                <w:rFonts w:ascii="Arial" w:hAnsi="Arial"/>
                <w:sz w:val="18"/>
              </w:rPr>
            </w:pPr>
            <w:r>
              <w:rPr>
                <w:rFonts w:ascii="Arial" w:hAnsi="Arial"/>
                <w:sz w:val="18"/>
              </w:rPr>
              <w:t>Under $25</w:t>
            </w:r>
          </w:p>
        </w:tc>
        <w:tc>
          <w:tcPr>
            <w:tcW w:w="736" w:type="dxa"/>
            <w:tcBorders>
              <w:top w:val="nil"/>
              <w:left w:val="nil"/>
              <w:bottom w:val="nil"/>
              <w:right w:val="single" w:sz="16" w:space="0" w:color="000000"/>
              <w:tl2br w:val="nil"/>
              <w:tr2bl w:val="nil"/>
            </w:tcBorders>
            <w:shd w:val="clear" w:color="auto" w:fill="FFFFFF"/>
            <w:vAlign w:val="center"/>
          </w:tcPr>
          <w:p w14:paraId="14186885"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076E6BBE" w14:textId="77777777" w:rsidR="00A36CBD" w:rsidRDefault="00A36CBD" w:rsidP="002761F1">
            <w:pPr>
              <w:spacing w:line="320" w:lineRule="atLeast"/>
              <w:ind w:left="60" w:right="60"/>
              <w:jc w:val="right"/>
              <w:rPr>
                <w:rFonts w:ascii="Arial" w:hAnsi="Arial"/>
                <w:sz w:val="18"/>
              </w:rPr>
            </w:pPr>
            <w:r>
              <w:rPr>
                <w:rFonts w:ascii="Arial" w:hAnsi="Arial"/>
                <w:sz w:val="18"/>
              </w:rPr>
              <w:t>32</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32281F0E" w14:textId="77777777" w:rsidR="00A36CBD" w:rsidRDefault="00A36CBD" w:rsidP="002761F1">
            <w:pPr>
              <w:spacing w:line="320" w:lineRule="atLeast"/>
              <w:ind w:left="60" w:right="60"/>
              <w:jc w:val="right"/>
              <w:rPr>
                <w:rFonts w:ascii="Arial" w:hAnsi="Arial"/>
                <w:sz w:val="18"/>
              </w:rPr>
            </w:pPr>
            <w:r>
              <w:rPr>
                <w:rFonts w:ascii="Arial" w:hAnsi="Arial"/>
                <w:sz w:val="18"/>
              </w:rPr>
              <w:t>164</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483C3D6B" w14:textId="77777777" w:rsidR="00A36CBD" w:rsidRDefault="00A36CBD" w:rsidP="002761F1">
            <w:pPr>
              <w:spacing w:line="320" w:lineRule="atLeast"/>
              <w:ind w:left="60" w:right="60"/>
              <w:jc w:val="right"/>
              <w:rPr>
                <w:rFonts w:ascii="Arial" w:hAnsi="Arial"/>
                <w:sz w:val="18"/>
              </w:rPr>
            </w:pPr>
            <w:r>
              <w:rPr>
                <w:rFonts w:ascii="Arial" w:hAnsi="Arial"/>
                <w:sz w:val="18"/>
              </w:rPr>
              <w:t>196</w:t>
            </w:r>
          </w:p>
        </w:tc>
      </w:tr>
      <w:tr w:rsidR="00A36CBD" w14:paraId="3D5440F1"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713F3A05"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21A1C582"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5622D116"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10BC1010"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9C0EBD7" w14:textId="77777777" w:rsidR="00A36CBD" w:rsidRDefault="00A36CBD" w:rsidP="002761F1">
            <w:pPr>
              <w:spacing w:line="320" w:lineRule="atLeast"/>
              <w:ind w:left="60" w:right="60"/>
              <w:jc w:val="right"/>
              <w:rPr>
                <w:rFonts w:ascii="Arial" w:hAnsi="Arial"/>
                <w:sz w:val="18"/>
              </w:rPr>
            </w:pPr>
            <w:r>
              <w:rPr>
                <w:rFonts w:ascii="Arial" w:hAnsi="Arial"/>
                <w:sz w:val="18"/>
              </w:rPr>
              <w:t>2.4%</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9244929" w14:textId="77777777" w:rsidR="00A36CBD" w:rsidRDefault="00A36CBD" w:rsidP="002761F1">
            <w:pPr>
              <w:spacing w:line="320" w:lineRule="atLeast"/>
              <w:ind w:left="60" w:right="60"/>
              <w:jc w:val="right"/>
              <w:rPr>
                <w:rFonts w:ascii="Arial" w:hAnsi="Arial"/>
                <w:sz w:val="18"/>
              </w:rPr>
            </w:pPr>
            <w:r>
              <w:rPr>
                <w:rFonts w:ascii="Arial" w:hAnsi="Arial"/>
                <w:sz w:val="18"/>
              </w:rPr>
              <w:t>12.1%</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20176A43" w14:textId="77777777" w:rsidR="00A36CBD" w:rsidRDefault="00A36CBD" w:rsidP="002761F1">
            <w:pPr>
              <w:spacing w:line="320" w:lineRule="atLeast"/>
              <w:ind w:left="60" w:right="60"/>
              <w:jc w:val="right"/>
              <w:rPr>
                <w:rFonts w:ascii="Arial" w:hAnsi="Arial"/>
                <w:sz w:val="18"/>
              </w:rPr>
            </w:pPr>
            <w:r>
              <w:rPr>
                <w:rFonts w:ascii="Arial" w:hAnsi="Arial"/>
                <w:sz w:val="18"/>
              </w:rPr>
              <w:t>14.5%</w:t>
            </w:r>
          </w:p>
        </w:tc>
      </w:tr>
      <w:tr w:rsidR="00A36CBD" w14:paraId="76D8C020"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644C24A8"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58272955"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716975B9" w14:textId="77777777" w:rsidR="00A36CBD" w:rsidRDefault="00A36CBD" w:rsidP="002761F1">
            <w:pPr>
              <w:spacing w:line="320" w:lineRule="atLeast"/>
              <w:ind w:left="60" w:right="60"/>
              <w:rPr>
                <w:rFonts w:ascii="Arial" w:hAnsi="Arial"/>
                <w:sz w:val="18"/>
              </w:rPr>
            </w:pPr>
            <w:r>
              <w:rPr>
                <w:rFonts w:ascii="Arial" w:hAnsi="Arial"/>
                <w:sz w:val="18"/>
              </w:rPr>
              <w:t>$25 - $49</w:t>
            </w:r>
          </w:p>
        </w:tc>
        <w:tc>
          <w:tcPr>
            <w:tcW w:w="736" w:type="dxa"/>
            <w:tcBorders>
              <w:top w:val="nil"/>
              <w:left w:val="nil"/>
              <w:bottom w:val="nil"/>
              <w:right w:val="single" w:sz="16" w:space="0" w:color="000000"/>
              <w:tl2br w:val="nil"/>
              <w:tr2bl w:val="nil"/>
            </w:tcBorders>
            <w:shd w:val="clear" w:color="auto" w:fill="FFFFFF"/>
            <w:vAlign w:val="center"/>
          </w:tcPr>
          <w:p w14:paraId="75D61DDC"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3244713E" w14:textId="77777777" w:rsidR="00A36CBD" w:rsidRDefault="00A36CBD" w:rsidP="002761F1">
            <w:pPr>
              <w:spacing w:line="320" w:lineRule="atLeast"/>
              <w:ind w:left="60" w:right="60"/>
              <w:jc w:val="right"/>
              <w:rPr>
                <w:rFonts w:ascii="Arial" w:hAnsi="Arial"/>
                <w:sz w:val="18"/>
              </w:rPr>
            </w:pPr>
            <w:r>
              <w:rPr>
                <w:rFonts w:ascii="Arial" w:hAnsi="Arial"/>
                <w:sz w:val="18"/>
              </w:rPr>
              <w:t>15</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6B915CB" w14:textId="77777777" w:rsidR="00A36CBD" w:rsidRDefault="00A36CBD" w:rsidP="002761F1">
            <w:pPr>
              <w:spacing w:line="320" w:lineRule="atLeast"/>
              <w:ind w:left="60" w:right="60"/>
              <w:jc w:val="right"/>
              <w:rPr>
                <w:rFonts w:ascii="Arial" w:hAnsi="Arial"/>
                <w:sz w:val="18"/>
              </w:rPr>
            </w:pPr>
            <w:r>
              <w:rPr>
                <w:rFonts w:ascii="Arial" w:hAnsi="Arial"/>
                <w:sz w:val="18"/>
              </w:rPr>
              <w:t>475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0585BE0E" w14:textId="77777777" w:rsidR="00A36CBD" w:rsidRDefault="00A36CBD" w:rsidP="002761F1">
            <w:pPr>
              <w:spacing w:line="320" w:lineRule="atLeast"/>
              <w:ind w:left="60" w:right="60"/>
              <w:jc w:val="right"/>
              <w:rPr>
                <w:rFonts w:ascii="Arial" w:hAnsi="Arial"/>
                <w:sz w:val="18"/>
              </w:rPr>
            </w:pPr>
            <w:r>
              <w:rPr>
                <w:rFonts w:ascii="Arial" w:hAnsi="Arial"/>
                <w:sz w:val="18"/>
              </w:rPr>
              <w:t>490</w:t>
            </w:r>
          </w:p>
        </w:tc>
      </w:tr>
      <w:tr w:rsidR="00A36CBD" w14:paraId="214221A1"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744F8FCC"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2B4C6ED6"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2E44C69C"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1F84115C"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89AC33A" w14:textId="77777777" w:rsidR="00A36CBD" w:rsidRDefault="00A36CBD" w:rsidP="002761F1">
            <w:pPr>
              <w:spacing w:line="320" w:lineRule="atLeast"/>
              <w:ind w:left="60" w:right="60"/>
              <w:jc w:val="right"/>
              <w:rPr>
                <w:rFonts w:ascii="Arial" w:hAnsi="Arial"/>
                <w:sz w:val="18"/>
              </w:rPr>
            </w:pPr>
            <w:r>
              <w:rPr>
                <w:rFonts w:ascii="Arial" w:hAnsi="Arial"/>
                <w:sz w:val="18"/>
              </w:rPr>
              <w:t>1.1%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54404283" w14:textId="77777777" w:rsidR="00A36CBD" w:rsidRDefault="00A36CBD" w:rsidP="002761F1">
            <w:pPr>
              <w:spacing w:line="320" w:lineRule="atLeast"/>
              <w:ind w:left="60" w:right="60"/>
              <w:jc w:val="right"/>
              <w:rPr>
                <w:rFonts w:ascii="Arial" w:hAnsi="Arial"/>
                <w:sz w:val="18"/>
              </w:rPr>
            </w:pPr>
            <w:r>
              <w:rPr>
                <w:rFonts w:ascii="Arial" w:hAnsi="Arial"/>
                <w:sz w:val="18"/>
              </w:rPr>
              <w:t>35.1%</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40448F81" w14:textId="77777777" w:rsidR="00A36CBD" w:rsidRDefault="00A36CBD" w:rsidP="002761F1">
            <w:pPr>
              <w:spacing w:line="320" w:lineRule="atLeast"/>
              <w:ind w:left="60" w:right="60"/>
              <w:jc w:val="right"/>
              <w:rPr>
                <w:rFonts w:ascii="Arial" w:hAnsi="Arial"/>
                <w:sz w:val="18"/>
              </w:rPr>
            </w:pPr>
            <w:r>
              <w:rPr>
                <w:rFonts w:ascii="Arial" w:hAnsi="Arial"/>
                <w:sz w:val="18"/>
              </w:rPr>
              <w:t>36.2%</w:t>
            </w:r>
          </w:p>
        </w:tc>
      </w:tr>
      <w:tr w:rsidR="00A36CBD" w14:paraId="56DC0DD2"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0110E832"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0A87D51"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5ADC33EA" w14:textId="77777777" w:rsidR="00A36CBD" w:rsidRDefault="00A36CBD" w:rsidP="002761F1">
            <w:pPr>
              <w:spacing w:line="320" w:lineRule="atLeast"/>
              <w:ind w:left="60" w:right="60"/>
              <w:rPr>
                <w:rFonts w:ascii="Arial" w:hAnsi="Arial"/>
                <w:sz w:val="18"/>
              </w:rPr>
            </w:pPr>
            <w:r>
              <w:rPr>
                <w:rFonts w:ascii="Arial" w:hAnsi="Arial"/>
                <w:sz w:val="18"/>
              </w:rPr>
              <w:t>$50 - $74</w:t>
            </w:r>
          </w:p>
        </w:tc>
        <w:tc>
          <w:tcPr>
            <w:tcW w:w="736" w:type="dxa"/>
            <w:tcBorders>
              <w:top w:val="nil"/>
              <w:left w:val="nil"/>
              <w:bottom w:val="nil"/>
              <w:right w:val="single" w:sz="16" w:space="0" w:color="000000"/>
              <w:tl2br w:val="nil"/>
              <w:tr2bl w:val="nil"/>
            </w:tcBorders>
            <w:shd w:val="clear" w:color="auto" w:fill="FFFFFF"/>
            <w:vAlign w:val="center"/>
          </w:tcPr>
          <w:p w14:paraId="4CC072C8"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0E003AED" w14:textId="77777777" w:rsidR="00A36CBD" w:rsidRDefault="00A36CBD" w:rsidP="002761F1">
            <w:pPr>
              <w:spacing w:line="320" w:lineRule="atLeast"/>
              <w:ind w:left="60" w:right="60"/>
              <w:jc w:val="right"/>
              <w:rPr>
                <w:rFonts w:ascii="Arial" w:hAnsi="Arial"/>
                <w:sz w:val="18"/>
              </w:rPr>
            </w:pPr>
            <w:r>
              <w:rPr>
                <w:rFonts w:ascii="Arial" w:hAnsi="Arial"/>
                <w:sz w:val="18"/>
              </w:rPr>
              <w:t>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39E14886" w14:textId="77777777" w:rsidR="00A36CBD" w:rsidRDefault="00A36CBD" w:rsidP="002761F1">
            <w:pPr>
              <w:spacing w:line="320" w:lineRule="atLeast"/>
              <w:ind w:left="60" w:right="60"/>
              <w:jc w:val="right"/>
              <w:rPr>
                <w:rFonts w:ascii="Arial" w:hAnsi="Arial"/>
                <w:sz w:val="18"/>
              </w:rPr>
            </w:pPr>
            <w:r>
              <w:rPr>
                <w:rFonts w:ascii="Arial" w:hAnsi="Arial"/>
                <w:sz w:val="18"/>
              </w:rPr>
              <w:t>258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12A81FE3" w14:textId="77777777" w:rsidR="00A36CBD" w:rsidRDefault="00A36CBD" w:rsidP="002761F1">
            <w:pPr>
              <w:spacing w:line="320" w:lineRule="atLeast"/>
              <w:ind w:left="60" w:right="60"/>
              <w:jc w:val="right"/>
              <w:rPr>
                <w:rFonts w:ascii="Arial" w:hAnsi="Arial"/>
                <w:sz w:val="18"/>
              </w:rPr>
            </w:pPr>
            <w:r>
              <w:rPr>
                <w:rFonts w:ascii="Arial" w:hAnsi="Arial"/>
                <w:sz w:val="18"/>
              </w:rPr>
              <w:t>259</w:t>
            </w:r>
          </w:p>
        </w:tc>
      </w:tr>
      <w:tr w:rsidR="00A36CBD" w14:paraId="1411EF56"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530B20A2"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6CEFBD8B"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44475D68"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00D72571"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58C41E8A" w14:textId="77777777" w:rsidR="00A36CBD" w:rsidRDefault="00A36CBD" w:rsidP="002761F1">
            <w:pPr>
              <w:spacing w:line="320" w:lineRule="atLeast"/>
              <w:ind w:left="60" w:right="60"/>
              <w:jc w:val="right"/>
              <w:rPr>
                <w:rFonts w:ascii="Arial" w:hAnsi="Arial"/>
                <w:sz w:val="18"/>
              </w:rPr>
            </w:pPr>
            <w:r>
              <w:rPr>
                <w:rFonts w:ascii="Arial" w:hAnsi="Arial"/>
                <w:sz w:val="18"/>
              </w:rPr>
              <w:t>0.1%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76D480B4" w14:textId="77777777" w:rsidR="00A36CBD" w:rsidRDefault="00A36CBD" w:rsidP="002761F1">
            <w:pPr>
              <w:spacing w:line="320" w:lineRule="atLeast"/>
              <w:ind w:left="60" w:right="60"/>
              <w:jc w:val="right"/>
              <w:rPr>
                <w:rFonts w:ascii="Arial" w:hAnsi="Arial"/>
                <w:sz w:val="18"/>
              </w:rPr>
            </w:pPr>
            <w:r>
              <w:rPr>
                <w:rFonts w:ascii="Arial" w:hAnsi="Arial"/>
                <w:sz w:val="18"/>
              </w:rPr>
              <w:t>19.0%</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15A6643" w14:textId="77777777" w:rsidR="00A36CBD" w:rsidRDefault="00A36CBD" w:rsidP="002761F1">
            <w:pPr>
              <w:spacing w:line="320" w:lineRule="atLeast"/>
              <w:ind w:left="60" w:right="60"/>
              <w:jc w:val="right"/>
              <w:rPr>
                <w:rFonts w:ascii="Arial" w:hAnsi="Arial"/>
                <w:sz w:val="18"/>
              </w:rPr>
            </w:pPr>
            <w:r>
              <w:rPr>
                <w:rFonts w:ascii="Arial" w:hAnsi="Arial"/>
                <w:sz w:val="18"/>
              </w:rPr>
              <w:t>19.1%</w:t>
            </w:r>
          </w:p>
        </w:tc>
      </w:tr>
      <w:tr w:rsidR="00A36CBD" w14:paraId="57DEC72F"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0F17654D"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F95F126"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0650FECC" w14:textId="77777777" w:rsidR="00A36CBD" w:rsidRDefault="00A36CBD" w:rsidP="002761F1">
            <w:pPr>
              <w:spacing w:line="320" w:lineRule="atLeast"/>
              <w:ind w:left="60" w:right="60"/>
              <w:rPr>
                <w:rFonts w:ascii="Arial" w:hAnsi="Arial"/>
                <w:sz w:val="18"/>
              </w:rPr>
            </w:pPr>
            <w:r>
              <w:rPr>
                <w:rFonts w:ascii="Arial" w:hAnsi="Arial"/>
                <w:sz w:val="18"/>
              </w:rPr>
              <w:t>$75+</w:t>
            </w:r>
          </w:p>
        </w:tc>
        <w:tc>
          <w:tcPr>
            <w:tcW w:w="736" w:type="dxa"/>
            <w:tcBorders>
              <w:top w:val="nil"/>
              <w:left w:val="nil"/>
              <w:bottom w:val="nil"/>
              <w:right w:val="single" w:sz="16" w:space="0" w:color="000000"/>
              <w:tl2br w:val="nil"/>
              <w:tr2bl w:val="nil"/>
            </w:tcBorders>
            <w:shd w:val="clear" w:color="auto" w:fill="FFFFFF"/>
            <w:vAlign w:val="center"/>
          </w:tcPr>
          <w:p w14:paraId="6C4B903A"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9E90326" w14:textId="77777777" w:rsidR="00A36CBD" w:rsidRDefault="00A36CBD" w:rsidP="002761F1">
            <w:pPr>
              <w:spacing w:line="320" w:lineRule="atLeast"/>
              <w:ind w:left="60" w:right="60"/>
              <w:jc w:val="right"/>
              <w:rPr>
                <w:rFonts w:ascii="Arial" w:hAnsi="Arial"/>
                <w:sz w:val="18"/>
              </w:rPr>
            </w:pPr>
            <w:r>
              <w:rPr>
                <w:rFonts w:ascii="Arial" w:hAnsi="Arial"/>
                <w:sz w:val="18"/>
              </w:rPr>
              <w:t>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6B2A88DE" w14:textId="77777777" w:rsidR="00A36CBD" w:rsidRDefault="00A36CBD" w:rsidP="002761F1">
            <w:pPr>
              <w:spacing w:line="320" w:lineRule="atLeast"/>
              <w:ind w:left="60" w:right="60"/>
              <w:jc w:val="right"/>
              <w:rPr>
                <w:rFonts w:ascii="Arial" w:hAnsi="Arial"/>
                <w:sz w:val="18"/>
              </w:rPr>
            </w:pPr>
            <w:r>
              <w:rPr>
                <w:rFonts w:ascii="Arial" w:hAnsi="Arial"/>
                <w:sz w:val="18"/>
              </w:rPr>
              <w:t>410</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9D1921A" w14:textId="77777777" w:rsidR="00A36CBD" w:rsidRDefault="00A36CBD" w:rsidP="002761F1">
            <w:pPr>
              <w:spacing w:line="320" w:lineRule="atLeast"/>
              <w:ind w:left="60" w:right="60"/>
              <w:jc w:val="right"/>
              <w:rPr>
                <w:rFonts w:ascii="Arial" w:hAnsi="Arial"/>
                <w:sz w:val="18"/>
              </w:rPr>
            </w:pPr>
            <w:r>
              <w:rPr>
                <w:rFonts w:ascii="Arial" w:hAnsi="Arial"/>
                <w:sz w:val="18"/>
              </w:rPr>
              <w:t>410</w:t>
            </w:r>
          </w:p>
        </w:tc>
      </w:tr>
      <w:tr w:rsidR="00A36CBD" w14:paraId="2EC1A4C7"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188C4AD1"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591EE740"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119A6C5A"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6C3B73F6"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3FDC9835" w14:textId="77777777" w:rsidR="00A36CBD" w:rsidRDefault="00A36CBD" w:rsidP="002761F1">
            <w:pPr>
              <w:spacing w:line="320" w:lineRule="atLeast"/>
              <w:ind w:left="60" w:right="60"/>
              <w:jc w:val="right"/>
              <w:rPr>
                <w:rFonts w:ascii="Arial" w:hAnsi="Arial"/>
                <w:sz w:val="18"/>
              </w:rPr>
            </w:pPr>
            <w:r>
              <w:rPr>
                <w:rFonts w:ascii="Arial" w:hAnsi="Arial"/>
                <w:sz w:val="18"/>
              </w:rPr>
              <w:t>0.0%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CC7FC34" w14:textId="77777777" w:rsidR="00A36CBD" w:rsidRDefault="00A36CBD" w:rsidP="002761F1">
            <w:pPr>
              <w:spacing w:line="320" w:lineRule="atLeast"/>
              <w:ind w:left="60" w:right="60"/>
              <w:jc w:val="right"/>
              <w:rPr>
                <w:rFonts w:ascii="Arial" w:hAnsi="Arial"/>
                <w:sz w:val="18"/>
              </w:rPr>
            </w:pPr>
            <w:r>
              <w:rPr>
                <w:rFonts w:ascii="Arial" w:hAnsi="Arial"/>
                <w:sz w:val="18"/>
              </w:rPr>
              <w:t>30.3%</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6F230D49" w14:textId="77777777" w:rsidR="00A36CBD" w:rsidRDefault="00A36CBD" w:rsidP="002761F1">
            <w:pPr>
              <w:spacing w:line="320" w:lineRule="atLeast"/>
              <w:ind w:left="60" w:right="60"/>
              <w:jc w:val="right"/>
              <w:rPr>
                <w:rFonts w:ascii="Arial" w:hAnsi="Arial"/>
                <w:sz w:val="18"/>
              </w:rPr>
            </w:pPr>
            <w:r>
              <w:rPr>
                <w:rFonts w:ascii="Arial" w:hAnsi="Arial"/>
                <w:sz w:val="18"/>
              </w:rPr>
              <w:t>30.3%</w:t>
            </w:r>
          </w:p>
        </w:tc>
      </w:tr>
      <w:tr w:rsidR="00A36CBD" w14:paraId="11C03BAF"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55DB387D" w14:textId="77777777" w:rsidR="00A36CBD" w:rsidRDefault="00A36CBD" w:rsidP="002761F1">
            <w:pPr>
              <w:rPr>
                <w:rFonts w:ascii="Arial" w:hAnsi="Arial"/>
                <w:sz w:val="18"/>
              </w:rPr>
            </w:pPr>
          </w:p>
        </w:tc>
        <w:tc>
          <w:tcPr>
            <w:tcW w:w="3700" w:type="dxa"/>
            <w:gridSpan w:val="2"/>
            <w:vMerge w:val="restart"/>
            <w:tcBorders>
              <w:top w:val="nil"/>
              <w:left w:val="nil"/>
              <w:bottom w:val="nil"/>
              <w:right w:val="nil"/>
              <w:tl2br w:val="nil"/>
              <w:tr2bl w:val="nil"/>
            </w:tcBorders>
            <w:shd w:val="clear" w:color="auto" w:fill="FFFFFF"/>
            <w:vAlign w:val="center"/>
          </w:tcPr>
          <w:p w14:paraId="5612F737" w14:textId="77777777" w:rsidR="00A36CBD" w:rsidRDefault="00A36CBD" w:rsidP="002761F1">
            <w:pPr>
              <w:spacing w:line="320" w:lineRule="atLeast"/>
              <w:ind w:left="60" w:right="60"/>
              <w:rPr>
                <w:rFonts w:ascii="Arial" w:hAnsi="Arial"/>
                <w:sz w:val="18"/>
              </w:rPr>
            </w:pPr>
            <w:r>
              <w:rPr>
                <w:rFonts w:ascii="Arial" w:hAnsi="Arial"/>
                <w:sz w:val="18"/>
              </w:rPr>
              <w:t>Total</w:t>
            </w:r>
          </w:p>
        </w:tc>
        <w:tc>
          <w:tcPr>
            <w:tcW w:w="736" w:type="dxa"/>
            <w:tcBorders>
              <w:top w:val="nil"/>
              <w:left w:val="nil"/>
              <w:bottom w:val="nil"/>
              <w:right w:val="single" w:sz="16" w:space="0" w:color="000000"/>
              <w:tl2br w:val="nil"/>
              <w:tr2bl w:val="nil"/>
            </w:tcBorders>
            <w:shd w:val="clear" w:color="auto" w:fill="FFFFFF"/>
            <w:vAlign w:val="center"/>
          </w:tcPr>
          <w:p w14:paraId="30A2D0B9"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712E1794" w14:textId="77777777" w:rsidR="00A36CBD" w:rsidRDefault="00A36CBD" w:rsidP="002761F1">
            <w:pPr>
              <w:spacing w:line="320" w:lineRule="atLeast"/>
              <w:ind w:left="60" w:right="60"/>
              <w:jc w:val="right"/>
              <w:rPr>
                <w:rFonts w:ascii="Arial" w:hAnsi="Arial"/>
                <w:sz w:val="18"/>
              </w:rPr>
            </w:pPr>
            <w:r>
              <w:rPr>
                <w:rFonts w:ascii="Arial" w:hAnsi="Arial"/>
                <w:sz w:val="18"/>
              </w:rPr>
              <w:t>48</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04B88D2" w14:textId="77777777" w:rsidR="00A36CBD" w:rsidRDefault="00A36CBD" w:rsidP="002761F1">
            <w:pPr>
              <w:spacing w:line="320" w:lineRule="atLeast"/>
              <w:ind w:left="60" w:right="60"/>
              <w:jc w:val="right"/>
              <w:rPr>
                <w:rFonts w:ascii="Arial" w:hAnsi="Arial"/>
                <w:sz w:val="18"/>
              </w:rPr>
            </w:pPr>
            <w:r>
              <w:rPr>
                <w:rFonts w:ascii="Arial" w:hAnsi="Arial"/>
                <w:sz w:val="18"/>
              </w:rPr>
              <w:t>1307</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3CCCA41A" w14:textId="77777777" w:rsidR="00A36CBD" w:rsidRDefault="00A36CBD" w:rsidP="002761F1">
            <w:pPr>
              <w:spacing w:line="320" w:lineRule="atLeast"/>
              <w:ind w:left="60" w:right="60"/>
              <w:jc w:val="right"/>
              <w:rPr>
                <w:rFonts w:ascii="Arial" w:hAnsi="Arial"/>
                <w:sz w:val="18"/>
              </w:rPr>
            </w:pPr>
            <w:r>
              <w:rPr>
                <w:rFonts w:ascii="Arial" w:hAnsi="Arial"/>
                <w:sz w:val="18"/>
              </w:rPr>
              <w:t>1355</w:t>
            </w:r>
          </w:p>
        </w:tc>
      </w:tr>
      <w:tr w:rsidR="00A36CBD" w14:paraId="21A0C29E"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16BE71EF" w14:textId="77777777" w:rsidR="00A36CBD" w:rsidRDefault="00A36CBD" w:rsidP="002761F1">
            <w:pPr>
              <w:rPr>
                <w:rFonts w:ascii="Arial" w:hAnsi="Arial"/>
                <w:sz w:val="18"/>
              </w:rPr>
            </w:pPr>
          </w:p>
        </w:tc>
        <w:tc>
          <w:tcPr>
            <w:tcW w:w="3700" w:type="dxa"/>
            <w:gridSpan w:val="2"/>
            <w:vMerge/>
            <w:tcBorders>
              <w:top w:val="nil"/>
              <w:left w:val="nil"/>
              <w:bottom w:val="nil"/>
              <w:right w:val="nil"/>
              <w:tl2br w:val="nil"/>
              <w:tr2bl w:val="nil"/>
            </w:tcBorders>
            <w:shd w:val="clear" w:color="auto" w:fill="FFFFFF"/>
            <w:vAlign w:val="center"/>
          </w:tcPr>
          <w:p w14:paraId="23258AA2"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72443427"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3D91AB10" w14:textId="77777777" w:rsidR="00A36CBD" w:rsidRDefault="00A36CBD" w:rsidP="002761F1">
            <w:pPr>
              <w:spacing w:line="320" w:lineRule="atLeast"/>
              <w:ind w:left="60" w:right="60"/>
              <w:jc w:val="right"/>
              <w:rPr>
                <w:rFonts w:ascii="Arial" w:hAnsi="Arial"/>
                <w:sz w:val="18"/>
              </w:rPr>
            </w:pPr>
            <w:r>
              <w:rPr>
                <w:rFonts w:ascii="Arial" w:hAnsi="Arial"/>
                <w:sz w:val="18"/>
              </w:rPr>
              <w:t>3.5%</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85C5810" w14:textId="77777777" w:rsidR="00A36CBD" w:rsidRDefault="00A36CBD" w:rsidP="002761F1">
            <w:pPr>
              <w:spacing w:line="320" w:lineRule="atLeast"/>
              <w:ind w:left="60" w:right="60"/>
              <w:jc w:val="right"/>
              <w:rPr>
                <w:rFonts w:ascii="Arial" w:hAnsi="Arial"/>
                <w:sz w:val="18"/>
              </w:rPr>
            </w:pPr>
            <w:r>
              <w:rPr>
                <w:rFonts w:ascii="Arial" w:hAnsi="Arial"/>
                <w:sz w:val="18"/>
              </w:rPr>
              <w:t>96.5%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29AB09B9" w14:textId="77777777" w:rsidR="00A36CBD" w:rsidRDefault="00A36CBD" w:rsidP="002761F1">
            <w:pPr>
              <w:spacing w:line="320" w:lineRule="atLeast"/>
              <w:ind w:left="60" w:right="60"/>
              <w:jc w:val="right"/>
              <w:rPr>
                <w:rFonts w:ascii="Arial" w:hAnsi="Arial"/>
                <w:sz w:val="18"/>
              </w:rPr>
            </w:pPr>
            <w:r>
              <w:rPr>
                <w:rFonts w:ascii="Arial" w:hAnsi="Arial"/>
                <w:sz w:val="18"/>
              </w:rPr>
              <w:t>100.0%</w:t>
            </w:r>
          </w:p>
        </w:tc>
      </w:tr>
      <w:tr w:rsidR="00A36CBD" w14:paraId="22E009F2" w14:textId="77777777" w:rsidTr="002761F1">
        <w:trPr>
          <w:cantSplit/>
        </w:trPr>
        <w:tc>
          <w:tcPr>
            <w:tcW w:w="2510" w:type="dxa"/>
            <w:vMerge w:val="restart"/>
            <w:tcBorders>
              <w:top w:val="nil"/>
              <w:left w:val="single" w:sz="16" w:space="0" w:color="000000"/>
              <w:bottom w:val="nil"/>
              <w:right w:val="nil"/>
              <w:tl2br w:val="nil"/>
              <w:tr2bl w:val="nil"/>
            </w:tcBorders>
            <w:shd w:val="clear" w:color="auto" w:fill="FFFFFF"/>
            <w:vAlign w:val="center"/>
          </w:tcPr>
          <w:p w14:paraId="2F56FB05" w14:textId="77777777" w:rsidR="00A36CBD" w:rsidRDefault="00A36CBD" w:rsidP="002761F1">
            <w:pPr>
              <w:spacing w:line="320" w:lineRule="atLeast"/>
              <w:ind w:left="60" w:right="60"/>
              <w:rPr>
                <w:rFonts w:ascii="Arial" w:hAnsi="Arial"/>
                <w:sz w:val="18"/>
              </w:rPr>
            </w:pPr>
            <w:r>
              <w:rPr>
                <w:rFonts w:ascii="Arial" w:hAnsi="Arial"/>
                <w:sz w:val="18"/>
              </w:rPr>
              <w:t>Post-undergraduate degree</w:t>
            </w:r>
          </w:p>
        </w:tc>
        <w:tc>
          <w:tcPr>
            <w:tcW w:w="2509" w:type="dxa"/>
            <w:vMerge w:val="restart"/>
            <w:tcBorders>
              <w:top w:val="nil"/>
              <w:left w:val="nil"/>
              <w:bottom w:val="nil"/>
              <w:right w:val="nil"/>
              <w:tl2br w:val="nil"/>
              <w:tr2bl w:val="nil"/>
            </w:tcBorders>
            <w:shd w:val="clear" w:color="auto" w:fill="FFFFFF"/>
            <w:vAlign w:val="center"/>
          </w:tcPr>
          <w:p w14:paraId="36E8BD91" w14:textId="77777777" w:rsidR="00A36CBD" w:rsidRDefault="00A36CBD" w:rsidP="002761F1">
            <w:pPr>
              <w:spacing w:line="320" w:lineRule="atLeast"/>
              <w:ind w:left="60" w:right="60"/>
              <w:rPr>
                <w:rFonts w:ascii="Arial" w:hAnsi="Arial"/>
                <w:sz w:val="18"/>
              </w:rPr>
            </w:pPr>
            <w:r>
              <w:rPr>
                <w:rFonts w:ascii="Arial" w:hAnsi="Arial"/>
                <w:sz w:val="18"/>
              </w:rPr>
              <w:t>Income category in thousands</w:t>
            </w:r>
          </w:p>
        </w:tc>
        <w:tc>
          <w:tcPr>
            <w:tcW w:w="1191" w:type="dxa"/>
            <w:vMerge w:val="restart"/>
            <w:tcBorders>
              <w:top w:val="nil"/>
              <w:left w:val="nil"/>
              <w:bottom w:val="nil"/>
              <w:right w:val="nil"/>
              <w:tl2br w:val="nil"/>
              <w:tr2bl w:val="nil"/>
            </w:tcBorders>
            <w:shd w:val="clear" w:color="auto" w:fill="FFFFFF"/>
            <w:vAlign w:val="center"/>
          </w:tcPr>
          <w:p w14:paraId="19BD39D9" w14:textId="77777777" w:rsidR="00A36CBD" w:rsidRDefault="00A36CBD" w:rsidP="002761F1">
            <w:pPr>
              <w:spacing w:line="320" w:lineRule="atLeast"/>
              <w:ind w:left="60" w:right="60"/>
              <w:rPr>
                <w:rFonts w:ascii="Arial" w:hAnsi="Arial"/>
                <w:sz w:val="18"/>
              </w:rPr>
            </w:pPr>
            <w:r>
              <w:rPr>
                <w:rFonts w:ascii="Arial" w:hAnsi="Arial"/>
                <w:sz w:val="18"/>
              </w:rPr>
              <w:t>Under $25</w:t>
            </w:r>
          </w:p>
        </w:tc>
        <w:tc>
          <w:tcPr>
            <w:tcW w:w="736" w:type="dxa"/>
            <w:tcBorders>
              <w:top w:val="nil"/>
              <w:left w:val="nil"/>
              <w:bottom w:val="nil"/>
              <w:right w:val="single" w:sz="16" w:space="0" w:color="000000"/>
              <w:tl2br w:val="nil"/>
              <w:tr2bl w:val="nil"/>
            </w:tcBorders>
            <w:shd w:val="clear" w:color="auto" w:fill="FFFFFF"/>
            <w:vAlign w:val="center"/>
          </w:tcPr>
          <w:p w14:paraId="0B60E8F7"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FD608E0" w14:textId="77777777" w:rsidR="00A36CBD" w:rsidRDefault="00A36CBD" w:rsidP="002761F1">
            <w:pPr>
              <w:spacing w:line="320" w:lineRule="atLeast"/>
              <w:ind w:left="60" w:right="60"/>
              <w:jc w:val="right"/>
              <w:rPr>
                <w:rFonts w:ascii="Arial" w:hAnsi="Arial"/>
                <w:sz w:val="18"/>
              </w:rPr>
            </w:pPr>
            <w:r>
              <w:rPr>
                <w:rFonts w:ascii="Arial" w:hAnsi="Arial"/>
                <w:sz w:val="18"/>
              </w:rPr>
              <w:t>4</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711F353D" w14:textId="77777777" w:rsidR="00A36CBD" w:rsidRDefault="00A36CBD" w:rsidP="002761F1">
            <w:pPr>
              <w:spacing w:line="320" w:lineRule="atLeast"/>
              <w:ind w:left="60" w:right="60"/>
              <w:jc w:val="right"/>
              <w:rPr>
                <w:rFonts w:ascii="Arial" w:hAnsi="Arial"/>
                <w:sz w:val="18"/>
              </w:rPr>
            </w:pPr>
            <w:r>
              <w:rPr>
                <w:rFonts w:ascii="Arial" w:hAnsi="Arial"/>
                <w:sz w:val="18"/>
              </w:rPr>
              <w:t>33</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54A6A62" w14:textId="77777777" w:rsidR="00A36CBD" w:rsidRDefault="00A36CBD" w:rsidP="002761F1">
            <w:pPr>
              <w:spacing w:line="320" w:lineRule="atLeast"/>
              <w:ind w:left="60" w:right="60"/>
              <w:jc w:val="right"/>
              <w:rPr>
                <w:rFonts w:ascii="Arial" w:hAnsi="Arial"/>
                <w:sz w:val="18"/>
              </w:rPr>
            </w:pPr>
            <w:r>
              <w:rPr>
                <w:rFonts w:ascii="Arial" w:hAnsi="Arial"/>
                <w:sz w:val="18"/>
              </w:rPr>
              <w:t>37</w:t>
            </w:r>
          </w:p>
        </w:tc>
      </w:tr>
      <w:tr w:rsidR="00A36CBD" w14:paraId="05300E44"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07EA4250"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40FEAFC9"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05AA78C1"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77E74992"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7EFE4E7C" w14:textId="77777777" w:rsidR="00A36CBD" w:rsidRDefault="00A36CBD" w:rsidP="002761F1">
            <w:pPr>
              <w:spacing w:line="320" w:lineRule="atLeast"/>
              <w:ind w:left="60" w:right="60"/>
              <w:jc w:val="right"/>
              <w:rPr>
                <w:rFonts w:ascii="Arial" w:hAnsi="Arial"/>
                <w:sz w:val="18"/>
              </w:rPr>
            </w:pPr>
            <w:r>
              <w:rPr>
                <w:rFonts w:ascii="Arial" w:hAnsi="Arial"/>
                <w:sz w:val="18"/>
              </w:rPr>
              <w:t>1.1%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7D15F357" w14:textId="77777777" w:rsidR="00A36CBD" w:rsidRDefault="00A36CBD" w:rsidP="002761F1">
            <w:pPr>
              <w:spacing w:line="320" w:lineRule="atLeast"/>
              <w:ind w:left="60" w:right="60"/>
              <w:jc w:val="right"/>
              <w:rPr>
                <w:rFonts w:ascii="Arial" w:hAnsi="Arial"/>
                <w:sz w:val="18"/>
              </w:rPr>
            </w:pPr>
            <w:r>
              <w:rPr>
                <w:rFonts w:ascii="Arial" w:hAnsi="Arial"/>
                <w:sz w:val="18"/>
              </w:rPr>
              <w:t>9.2%</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4E253A07" w14:textId="77777777" w:rsidR="00A36CBD" w:rsidRDefault="00A36CBD" w:rsidP="002761F1">
            <w:pPr>
              <w:spacing w:line="320" w:lineRule="atLeast"/>
              <w:ind w:left="60" w:right="60"/>
              <w:jc w:val="right"/>
              <w:rPr>
                <w:rFonts w:ascii="Arial" w:hAnsi="Arial"/>
                <w:sz w:val="18"/>
              </w:rPr>
            </w:pPr>
            <w:r>
              <w:rPr>
                <w:rFonts w:ascii="Arial" w:hAnsi="Arial"/>
                <w:sz w:val="18"/>
              </w:rPr>
              <w:t>10.3%</w:t>
            </w:r>
          </w:p>
        </w:tc>
      </w:tr>
      <w:tr w:rsidR="00A36CBD" w14:paraId="301D173A"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1F9FF383"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564DB3E4"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7DFB20B8" w14:textId="77777777" w:rsidR="00A36CBD" w:rsidRDefault="00A36CBD" w:rsidP="002761F1">
            <w:pPr>
              <w:spacing w:line="320" w:lineRule="atLeast"/>
              <w:ind w:left="60" w:right="60"/>
              <w:rPr>
                <w:rFonts w:ascii="Arial" w:hAnsi="Arial"/>
                <w:sz w:val="18"/>
              </w:rPr>
            </w:pPr>
            <w:r>
              <w:rPr>
                <w:rFonts w:ascii="Arial" w:hAnsi="Arial"/>
                <w:sz w:val="18"/>
              </w:rPr>
              <w:t>$25 - $49</w:t>
            </w:r>
          </w:p>
        </w:tc>
        <w:tc>
          <w:tcPr>
            <w:tcW w:w="736" w:type="dxa"/>
            <w:tcBorders>
              <w:top w:val="nil"/>
              <w:left w:val="nil"/>
              <w:bottom w:val="nil"/>
              <w:right w:val="single" w:sz="16" w:space="0" w:color="000000"/>
              <w:tl2br w:val="nil"/>
              <w:tr2bl w:val="nil"/>
            </w:tcBorders>
            <w:shd w:val="clear" w:color="auto" w:fill="FFFFFF"/>
            <w:vAlign w:val="center"/>
          </w:tcPr>
          <w:p w14:paraId="26232C74"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2E6D307D" w14:textId="77777777" w:rsidR="00A36CBD" w:rsidRDefault="00A36CBD" w:rsidP="002761F1">
            <w:pPr>
              <w:spacing w:line="320" w:lineRule="atLeast"/>
              <w:ind w:left="60" w:right="60"/>
              <w:jc w:val="right"/>
              <w:rPr>
                <w:rFonts w:ascii="Arial" w:hAnsi="Arial"/>
                <w:sz w:val="18"/>
              </w:rPr>
            </w:pPr>
            <w:r>
              <w:rPr>
                <w:rFonts w:ascii="Arial" w:hAnsi="Arial"/>
                <w:sz w:val="18"/>
              </w:rPr>
              <w:t>6</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2DE9F6CA" w14:textId="77777777" w:rsidR="00A36CBD" w:rsidRDefault="00A36CBD" w:rsidP="002761F1">
            <w:pPr>
              <w:spacing w:line="320" w:lineRule="atLeast"/>
              <w:ind w:left="60" w:right="60"/>
              <w:jc w:val="right"/>
              <w:rPr>
                <w:rFonts w:ascii="Arial" w:hAnsi="Arial"/>
                <w:sz w:val="18"/>
              </w:rPr>
            </w:pPr>
            <w:r>
              <w:rPr>
                <w:rFonts w:ascii="Arial" w:hAnsi="Arial"/>
                <w:sz w:val="18"/>
              </w:rPr>
              <w:t>114</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03AD72E3" w14:textId="77777777" w:rsidR="00A36CBD" w:rsidRDefault="00A36CBD" w:rsidP="002761F1">
            <w:pPr>
              <w:spacing w:line="320" w:lineRule="atLeast"/>
              <w:ind w:left="60" w:right="60"/>
              <w:jc w:val="right"/>
              <w:rPr>
                <w:rFonts w:ascii="Arial" w:hAnsi="Arial"/>
                <w:sz w:val="18"/>
              </w:rPr>
            </w:pPr>
            <w:r>
              <w:rPr>
                <w:rFonts w:ascii="Arial" w:hAnsi="Arial"/>
                <w:sz w:val="18"/>
              </w:rPr>
              <w:t>120</w:t>
            </w:r>
          </w:p>
        </w:tc>
      </w:tr>
      <w:tr w:rsidR="00A36CBD" w14:paraId="24E517FA"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6710DEB7"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D3CF9BC"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7745604F"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3B8CADB0"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EEFFD80" w14:textId="77777777" w:rsidR="00A36CBD" w:rsidRDefault="00A36CBD" w:rsidP="002761F1">
            <w:pPr>
              <w:spacing w:line="320" w:lineRule="atLeast"/>
              <w:ind w:left="60" w:right="60"/>
              <w:jc w:val="right"/>
              <w:rPr>
                <w:rFonts w:ascii="Arial" w:hAnsi="Arial"/>
                <w:sz w:val="18"/>
              </w:rPr>
            </w:pPr>
            <w:r>
              <w:rPr>
                <w:rFonts w:ascii="Arial" w:hAnsi="Arial"/>
                <w:sz w:val="18"/>
              </w:rPr>
              <w:t>1.7%</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77DCD2B1" w14:textId="77777777" w:rsidR="00A36CBD" w:rsidRDefault="00A36CBD" w:rsidP="002761F1">
            <w:pPr>
              <w:spacing w:line="320" w:lineRule="atLeast"/>
              <w:ind w:left="60" w:right="60"/>
              <w:jc w:val="right"/>
              <w:rPr>
                <w:rFonts w:ascii="Arial" w:hAnsi="Arial"/>
                <w:sz w:val="18"/>
              </w:rPr>
            </w:pPr>
            <w:r>
              <w:rPr>
                <w:rFonts w:ascii="Arial" w:hAnsi="Arial"/>
                <w:sz w:val="18"/>
              </w:rPr>
              <w:t>31.8%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6D8BBD2B" w14:textId="77777777" w:rsidR="00A36CBD" w:rsidRDefault="00A36CBD" w:rsidP="002761F1">
            <w:pPr>
              <w:spacing w:line="320" w:lineRule="atLeast"/>
              <w:ind w:left="60" w:right="60"/>
              <w:jc w:val="right"/>
              <w:rPr>
                <w:rFonts w:ascii="Arial" w:hAnsi="Arial"/>
                <w:sz w:val="18"/>
              </w:rPr>
            </w:pPr>
            <w:r>
              <w:rPr>
                <w:rFonts w:ascii="Arial" w:hAnsi="Arial"/>
                <w:sz w:val="18"/>
              </w:rPr>
              <w:t>33.4%</w:t>
            </w:r>
          </w:p>
        </w:tc>
      </w:tr>
      <w:tr w:rsidR="00A36CBD" w14:paraId="06B3A85B"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03D5A751"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36808B91"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7C771BE7" w14:textId="77777777" w:rsidR="00A36CBD" w:rsidRDefault="00A36CBD" w:rsidP="002761F1">
            <w:pPr>
              <w:spacing w:line="320" w:lineRule="atLeast"/>
              <w:ind w:left="60" w:right="60"/>
              <w:rPr>
                <w:rFonts w:ascii="Arial" w:hAnsi="Arial"/>
                <w:sz w:val="18"/>
              </w:rPr>
            </w:pPr>
            <w:r>
              <w:rPr>
                <w:rFonts w:ascii="Arial" w:hAnsi="Arial"/>
                <w:sz w:val="18"/>
              </w:rPr>
              <w:t>$50 - $74</w:t>
            </w:r>
          </w:p>
        </w:tc>
        <w:tc>
          <w:tcPr>
            <w:tcW w:w="736" w:type="dxa"/>
            <w:tcBorders>
              <w:top w:val="nil"/>
              <w:left w:val="nil"/>
              <w:bottom w:val="nil"/>
              <w:right w:val="single" w:sz="16" w:space="0" w:color="000000"/>
              <w:tl2br w:val="nil"/>
              <w:tr2bl w:val="nil"/>
            </w:tcBorders>
            <w:shd w:val="clear" w:color="auto" w:fill="FFFFFF"/>
            <w:vAlign w:val="center"/>
          </w:tcPr>
          <w:p w14:paraId="00767225"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5B05A76B" w14:textId="77777777" w:rsidR="00A36CBD" w:rsidRDefault="00A36CBD" w:rsidP="002761F1">
            <w:pPr>
              <w:spacing w:line="320" w:lineRule="atLeast"/>
              <w:ind w:left="60" w:right="60"/>
              <w:jc w:val="right"/>
              <w:rPr>
                <w:rFonts w:ascii="Arial" w:hAnsi="Arial"/>
                <w:sz w:val="18"/>
              </w:rPr>
            </w:pPr>
            <w:r>
              <w:rPr>
                <w:rFonts w:ascii="Arial" w:hAnsi="Arial"/>
                <w:sz w:val="18"/>
              </w:rPr>
              <w:t>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2F493A2" w14:textId="77777777" w:rsidR="00A36CBD" w:rsidRDefault="00A36CBD" w:rsidP="002761F1">
            <w:pPr>
              <w:spacing w:line="320" w:lineRule="atLeast"/>
              <w:ind w:left="60" w:right="60"/>
              <w:jc w:val="right"/>
              <w:rPr>
                <w:rFonts w:ascii="Arial" w:hAnsi="Arial"/>
                <w:sz w:val="18"/>
              </w:rPr>
            </w:pPr>
            <w:r>
              <w:rPr>
                <w:rFonts w:ascii="Arial" w:hAnsi="Arial"/>
                <w:sz w:val="18"/>
              </w:rPr>
              <w:t>63</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7BD07208" w14:textId="77777777" w:rsidR="00A36CBD" w:rsidRDefault="00A36CBD" w:rsidP="002761F1">
            <w:pPr>
              <w:spacing w:line="320" w:lineRule="atLeast"/>
              <w:ind w:left="60" w:right="60"/>
              <w:jc w:val="right"/>
              <w:rPr>
                <w:rFonts w:ascii="Arial" w:hAnsi="Arial"/>
                <w:sz w:val="18"/>
              </w:rPr>
            </w:pPr>
            <w:r>
              <w:rPr>
                <w:rFonts w:ascii="Arial" w:hAnsi="Arial"/>
                <w:sz w:val="18"/>
              </w:rPr>
              <w:t>63</w:t>
            </w:r>
          </w:p>
        </w:tc>
      </w:tr>
      <w:tr w:rsidR="00A36CBD" w14:paraId="7E873819"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354E5073"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187117C2"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45A927FF"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05703629"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3CDA722D" w14:textId="77777777" w:rsidR="00A36CBD" w:rsidRDefault="00A36CBD" w:rsidP="002761F1">
            <w:pPr>
              <w:spacing w:line="320" w:lineRule="atLeast"/>
              <w:ind w:left="60" w:right="60"/>
              <w:jc w:val="right"/>
              <w:rPr>
                <w:rFonts w:ascii="Arial" w:hAnsi="Arial"/>
                <w:sz w:val="18"/>
              </w:rPr>
            </w:pPr>
            <w:r>
              <w:rPr>
                <w:rFonts w:ascii="Arial" w:hAnsi="Arial"/>
                <w:sz w:val="18"/>
              </w:rPr>
              <w:t>0.0%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235AF36E" w14:textId="77777777" w:rsidR="00A36CBD" w:rsidRDefault="00A36CBD" w:rsidP="002761F1">
            <w:pPr>
              <w:spacing w:line="320" w:lineRule="atLeast"/>
              <w:ind w:left="60" w:right="60"/>
              <w:jc w:val="right"/>
              <w:rPr>
                <w:rFonts w:ascii="Arial" w:hAnsi="Arial"/>
                <w:sz w:val="18"/>
              </w:rPr>
            </w:pPr>
            <w:r>
              <w:rPr>
                <w:rFonts w:ascii="Arial" w:hAnsi="Arial"/>
                <w:sz w:val="18"/>
              </w:rPr>
              <w:t>17.5%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73397695" w14:textId="77777777" w:rsidR="00A36CBD" w:rsidRDefault="00A36CBD" w:rsidP="002761F1">
            <w:pPr>
              <w:spacing w:line="320" w:lineRule="atLeast"/>
              <w:ind w:left="60" w:right="60"/>
              <w:jc w:val="right"/>
              <w:rPr>
                <w:rFonts w:ascii="Arial" w:hAnsi="Arial"/>
                <w:sz w:val="18"/>
              </w:rPr>
            </w:pPr>
            <w:r>
              <w:rPr>
                <w:rFonts w:ascii="Arial" w:hAnsi="Arial"/>
                <w:sz w:val="18"/>
              </w:rPr>
              <w:t>17.5%</w:t>
            </w:r>
          </w:p>
        </w:tc>
      </w:tr>
      <w:tr w:rsidR="00A36CBD" w14:paraId="2D1C0278"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24800E98"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5FBCAC44"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64299EBE" w14:textId="77777777" w:rsidR="00A36CBD" w:rsidRDefault="00A36CBD" w:rsidP="002761F1">
            <w:pPr>
              <w:spacing w:line="320" w:lineRule="atLeast"/>
              <w:ind w:left="60" w:right="60"/>
              <w:rPr>
                <w:rFonts w:ascii="Arial" w:hAnsi="Arial"/>
                <w:sz w:val="18"/>
              </w:rPr>
            </w:pPr>
            <w:r>
              <w:rPr>
                <w:rFonts w:ascii="Arial" w:hAnsi="Arial"/>
                <w:sz w:val="18"/>
              </w:rPr>
              <w:t>$75+</w:t>
            </w:r>
          </w:p>
        </w:tc>
        <w:tc>
          <w:tcPr>
            <w:tcW w:w="736" w:type="dxa"/>
            <w:tcBorders>
              <w:top w:val="nil"/>
              <w:left w:val="nil"/>
              <w:bottom w:val="nil"/>
              <w:right w:val="single" w:sz="16" w:space="0" w:color="000000"/>
              <w:tl2br w:val="nil"/>
              <w:tr2bl w:val="nil"/>
            </w:tcBorders>
            <w:shd w:val="clear" w:color="auto" w:fill="FFFFFF"/>
            <w:vAlign w:val="center"/>
          </w:tcPr>
          <w:p w14:paraId="2BBBCA66"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5E5069B1" w14:textId="77777777" w:rsidR="00A36CBD" w:rsidRDefault="00A36CBD" w:rsidP="002761F1">
            <w:pPr>
              <w:spacing w:line="320" w:lineRule="atLeast"/>
              <w:ind w:left="60" w:right="60"/>
              <w:jc w:val="right"/>
              <w:rPr>
                <w:rFonts w:ascii="Arial" w:hAnsi="Arial"/>
                <w:sz w:val="18"/>
              </w:rPr>
            </w:pPr>
            <w:r>
              <w:rPr>
                <w:rFonts w:ascii="Arial" w:hAnsi="Arial"/>
                <w:sz w:val="18"/>
              </w:rPr>
              <w:t>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4DF3A5CF" w14:textId="77777777" w:rsidR="00A36CBD" w:rsidRDefault="00A36CBD" w:rsidP="002761F1">
            <w:pPr>
              <w:spacing w:line="320" w:lineRule="atLeast"/>
              <w:ind w:left="60" w:right="60"/>
              <w:jc w:val="right"/>
              <w:rPr>
                <w:rFonts w:ascii="Arial" w:hAnsi="Arial"/>
                <w:sz w:val="18"/>
              </w:rPr>
            </w:pPr>
            <w:r>
              <w:rPr>
                <w:rFonts w:ascii="Arial" w:hAnsi="Arial"/>
                <w:sz w:val="18"/>
              </w:rPr>
              <w:t>138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172CCF5E" w14:textId="77777777" w:rsidR="00A36CBD" w:rsidRDefault="00A36CBD" w:rsidP="002761F1">
            <w:pPr>
              <w:spacing w:line="320" w:lineRule="atLeast"/>
              <w:ind w:left="60" w:right="60"/>
              <w:jc w:val="right"/>
              <w:rPr>
                <w:rFonts w:ascii="Arial" w:hAnsi="Arial"/>
                <w:sz w:val="18"/>
              </w:rPr>
            </w:pPr>
            <w:r>
              <w:rPr>
                <w:rFonts w:ascii="Arial" w:hAnsi="Arial"/>
                <w:sz w:val="18"/>
              </w:rPr>
              <w:t>139</w:t>
            </w:r>
          </w:p>
        </w:tc>
      </w:tr>
      <w:tr w:rsidR="00A36CBD" w14:paraId="09B9A949"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26978DB6"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1F2449F9"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4E369A8A"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1FD38C1B"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1B2B7D6" w14:textId="77777777" w:rsidR="00A36CBD" w:rsidRDefault="00A36CBD" w:rsidP="002761F1">
            <w:pPr>
              <w:spacing w:line="320" w:lineRule="atLeast"/>
              <w:ind w:left="60" w:right="60"/>
              <w:jc w:val="right"/>
              <w:rPr>
                <w:rFonts w:ascii="Arial" w:hAnsi="Arial"/>
                <w:sz w:val="18"/>
              </w:rPr>
            </w:pPr>
            <w:r>
              <w:rPr>
                <w:rFonts w:ascii="Arial" w:hAnsi="Arial"/>
                <w:sz w:val="18"/>
              </w:rPr>
              <w:t>0.3%</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0433FEC" w14:textId="77777777" w:rsidR="00A36CBD" w:rsidRDefault="00A36CBD" w:rsidP="002761F1">
            <w:pPr>
              <w:spacing w:line="320" w:lineRule="atLeast"/>
              <w:ind w:left="60" w:right="60"/>
              <w:jc w:val="right"/>
              <w:rPr>
                <w:rFonts w:ascii="Arial" w:hAnsi="Arial"/>
                <w:sz w:val="18"/>
              </w:rPr>
            </w:pPr>
            <w:r>
              <w:rPr>
                <w:rFonts w:ascii="Arial" w:hAnsi="Arial"/>
                <w:sz w:val="18"/>
              </w:rPr>
              <w:t>38.4%</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7EF7F688" w14:textId="77777777" w:rsidR="00A36CBD" w:rsidRDefault="00A36CBD" w:rsidP="002761F1">
            <w:pPr>
              <w:spacing w:line="320" w:lineRule="atLeast"/>
              <w:ind w:left="60" w:right="60"/>
              <w:jc w:val="right"/>
              <w:rPr>
                <w:rFonts w:ascii="Arial" w:hAnsi="Arial"/>
                <w:sz w:val="18"/>
              </w:rPr>
            </w:pPr>
            <w:r>
              <w:rPr>
                <w:rFonts w:ascii="Arial" w:hAnsi="Arial"/>
                <w:sz w:val="18"/>
              </w:rPr>
              <w:t>38.7%</w:t>
            </w:r>
          </w:p>
        </w:tc>
      </w:tr>
      <w:tr w:rsidR="00A36CBD" w14:paraId="39B331ED"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329FFBF5" w14:textId="77777777" w:rsidR="00A36CBD" w:rsidRDefault="00A36CBD" w:rsidP="002761F1">
            <w:pPr>
              <w:rPr>
                <w:rFonts w:ascii="Arial" w:hAnsi="Arial"/>
                <w:sz w:val="18"/>
              </w:rPr>
            </w:pPr>
          </w:p>
        </w:tc>
        <w:tc>
          <w:tcPr>
            <w:tcW w:w="3700" w:type="dxa"/>
            <w:gridSpan w:val="2"/>
            <w:vMerge w:val="restart"/>
            <w:tcBorders>
              <w:top w:val="nil"/>
              <w:left w:val="nil"/>
              <w:bottom w:val="nil"/>
              <w:right w:val="nil"/>
              <w:tl2br w:val="nil"/>
              <w:tr2bl w:val="nil"/>
            </w:tcBorders>
            <w:shd w:val="clear" w:color="auto" w:fill="FFFFFF"/>
            <w:vAlign w:val="center"/>
          </w:tcPr>
          <w:p w14:paraId="3E91C6D0" w14:textId="77777777" w:rsidR="00A36CBD" w:rsidRDefault="00A36CBD" w:rsidP="002761F1">
            <w:pPr>
              <w:spacing w:line="320" w:lineRule="atLeast"/>
              <w:ind w:left="60" w:right="60"/>
              <w:rPr>
                <w:rFonts w:ascii="Arial" w:hAnsi="Arial"/>
                <w:sz w:val="18"/>
              </w:rPr>
            </w:pPr>
            <w:r>
              <w:rPr>
                <w:rFonts w:ascii="Arial" w:hAnsi="Arial"/>
                <w:sz w:val="18"/>
              </w:rPr>
              <w:t>Total</w:t>
            </w:r>
          </w:p>
        </w:tc>
        <w:tc>
          <w:tcPr>
            <w:tcW w:w="736" w:type="dxa"/>
            <w:tcBorders>
              <w:top w:val="nil"/>
              <w:left w:val="nil"/>
              <w:bottom w:val="nil"/>
              <w:right w:val="single" w:sz="16" w:space="0" w:color="000000"/>
              <w:tl2br w:val="nil"/>
              <w:tr2bl w:val="nil"/>
            </w:tcBorders>
            <w:shd w:val="clear" w:color="auto" w:fill="FFFFFF"/>
            <w:vAlign w:val="center"/>
          </w:tcPr>
          <w:p w14:paraId="7984E71C"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7AA31D4C" w14:textId="77777777" w:rsidR="00A36CBD" w:rsidRDefault="00A36CBD" w:rsidP="002761F1">
            <w:pPr>
              <w:spacing w:line="320" w:lineRule="atLeast"/>
              <w:ind w:left="60" w:right="60"/>
              <w:jc w:val="right"/>
              <w:rPr>
                <w:rFonts w:ascii="Arial" w:hAnsi="Arial"/>
                <w:sz w:val="18"/>
              </w:rPr>
            </w:pPr>
            <w:r>
              <w:rPr>
                <w:rFonts w:ascii="Arial" w:hAnsi="Arial"/>
                <w:sz w:val="18"/>
              </w:rPr>
              <w:t>11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5EA7DDD3" w14:textId="77777777" w:rsidR="00A36CBD" w:rsidRDefault="00A36CBD" w:rsidP="002761F1">
            <w:pPr>
              <w:spacing w:line="320" w:lineRule="atLeast"/>
              <w:ind w:left="60" w:right="60"/>
              <w:jc w:val="right"/>
              <w:rPr>
                <w:rFonts w:ascii="Arial" w:hAnsi="Arial"/>
                <w:sz w:val="18"/>
              </w:rPr>
            </w:pPr>
            <w:r>
              <w:rPr>
                <w:rFonts w:ascii="Arial" w:hAnsi="Arial"/>
                <w:sz w:val="18"/>
              </w:rPr>
              <w:t>348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68F5D32C" w14:textId="77777777" w:rsidR="00A36CBD" w:rsidRDefault="00A36CBD" w:rsidP="002761F1">
            <w:pPr>
              <w:spacing w:line="320" w:lineRule="atLeast"/>
              <w:ind w:left="60" w:right="60"/>
              <w:jc w:val="right"/>
              <w:rPr>
                <w:rFonts w:ascii="Arial" w:hAnsi="Arial"/>
                <w:sz w:val="18"/>
              </w:rPr>
            </w:pPr>
            <w:r>
              <w:rPr>
                <w:rFonts w:ascii="Arial" w:hAnsi="Arial"/>
                <w:sz w:val="18"/>
              </w:rPr>
              <w:t>359</w:t>
            </w:r>
          </w:p>
        </w:tc>
      </w:tr>
      <w:tr w:rsidR="00A36CBD" w14:paraId="484D9CF4" w14:textId="77777777" w:rsidTr="002761F1">
        <w:trPr>
          <w:cantSplit/>
        </w:trPr>
        <w:tc>
          <w:tcPr>
            <w:tcW w:w="2510" w:type="dxa"/>
            <w:vMerge/>
            <w:tcBorders>
              <w:top w:val="nil"/>
              <w:left w:val="single" w:sz="16" w:space="0" w:color="000000"/>
              <w:bottom w:val="nil"/>
              <w:right w:val="nil"/>
              <w:tl2br w:val="nil"/>
              <w:tr2bl w:val="nil"/>
            </w:tcBorders>
            <w:shd w:val="clear" w:color="auto" w:fill="FFFFFF"/>
            <w:vAlign w:val="center"/>
          </w:tcPr>
          <w:p w14:paraId="2A8F1D00" w14:textId="77777777" w:rsidR="00A36CBD" w:rsidRDefault="00A36CBD" w:rsidP="002761F1">
            <w:pPr>
              <w:rPr>
                <w:rFonts w:ascii="Arial" w:hAnsi="Arial"/>
                <w:sz w:val="18"/>
              </w:rPr>
            </w:pPr>
          </w:p>
        </w:tc>
        <w:tc>
          <w:tcPr>
            <w:tcW w:w="3700" w:type="dxa"/>
            <w:gridSpan w:val="2"/>
            <w:vMerge/>
            <w:tcBorders>
              <w:top w:val="nil"/>
              <w:left w:val="nil"/>
              <w:bottom w:val="nil"/>
              <w:right w:val="nil"/>
              <w:tl2br w:val="nil"/>
              <w:tr2bl w:val="nil"/>
            </w:tcBorders>
            <w:shd w:val="clear" w:color="auto" w:fill="FFFFFF"/>
            <w:vAlign w:val="center"/>
          </w:tcPr>
          <w:p w14:paraId="4F5862EA"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0CD783A7"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42E24C93" w14:textId="77777777" w:rsidR="00A36CBD" w:rsidRDefault="00A36CBD" w:rsidP="002761F1">
            <w:pPr>
              <w:spacing w:line="320" w:lineRule="atLeast"/>
              <w:ind w:left="60" w:right="60"/>
              <w:jc w:val="right"/>
              <w:rPr>
                <w:rFonts w:ascii="Arial" w:hAnsi="Arial"/>
                <w:sz w:val="18"/>
              </w:rPr>
            </w:pPr>
            <w:r>
              <w:rPr>
                <w:rFonts w:ascii="Arial" w:hAnsi="Arial"/>
                <w:sz w:val="18"/>
              </w:rPr>
              <w:t>3.1%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7EA07200" w14:textId="77777777" w:rsidR="00A36CBD" w:rsidRDefault="00A36CBD" w:rsidP="002761F1">
            <w:pPr>
              <w:spacing w:line="320" w:lineRule="atLeast"/>
              <w:ind w:left="60" w:right="60"/>
              <w:jc w:val="right"/>
              <w:rPr>
                <w:rFonts w:ascii="Arial" w:hAnsi="Arial"/>
                <w:sz w:val="18"/>
              </w:rPr>
            </w:pPr>
            <w:r>
              <w:rPr>
                <w:rFonts w:ascii="Arial" w:hAnsi="Arial"/>
                <w:sz w:val="18"/>
              </w:rPr>
              <w:t>96.9%</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6C425897" w14:textId="77777777" w:rsidR="00A36CBD" w:rsidRDefault="00A36CBD" w:rsidP="002761F1">
            <w:pPr>
              <w:spacing w:line="320" w:lineRule="atLeast"/>
              <w:ind w:left="60" w:right="60"/>
              <w:jc w:val="right"/>
              <w:rPr>
                <w:rFonts w:ascii="Arial" w:hAnsi="Arial"/>
                <w:sz w:val="18"/>
              </w:rPr>
            </w:pPr>
            <w:r>
              <w:rPr>
                <w:rFonts w:ascii="Arial" w:hAnsi="Arial"/>
                <w:sz w:val="18"/>
              </w:rPr>
              <w:t>100.0%</w:t>
            </w:r>
          </w:p>
        </w:tc>
      </w:tr>
      <w:tr w:rsidR="00A36CBD" w14:paraId="25220945" w14:textId="77777777" w:rsidTr="002761F1">
        <w:trPr>
          <w:cantSplit/>
        </w:trPr>
        <w:tc>
          <w:tcPr>
            <w:tcW w:w="2510" w:type="dxa"/>
            <w:vMerge w:val="restart"/>
            <w:tcBorders>
              <w:top w:val="nil"/>
              <w:left w:val="single" w:sz="16" w:space="0" w:color="000000"/>
              <w:bottom w:val="single" w:sz="16" w:space="0" w:color="000000"/>
              <w:right w:val="nil"/>
              <w:tl2br w:val="nil"/>
              <w:tr2bl w:val="nil"/>
            </w:tcBorders>
            <w:shd w:val="clear" w:color="auto" w:fill="FFFFFF"/>
            <w:vAlign w:val="center"/>
          </w:tcPr>
          <w:p w14:paraId="648B1F78" w14:textId="77777777" w:rsidR="00A36CBD" w:rsidRDefault="00A36CBD" w:rsidP="002761F1">
            <w:pPr>
              <w:spacing w:line="320" w:lineRule="atLeast"/>
              <w:ind w:left="60" w:right="60"/>
              <w:rPr>
                <w:rFonts w:ascii="Arial" w:hAnsi="Arial"/>
                <w:sz w:val="18"/>
              </w:rPr>
            </w:pPr>
            <w:r>
              <w:rPr>
                <w:rFonts w:ascii="Arial" w:hAnsi="Arial"/>
                <w:sz w:val="18"/>
              </w:rPr>
              <w:t>Total</w:t>
            </w:r>
          </w:p>
        </w:tc>
        <w:tc>
          <w:tcPr>
            <w:tcW w:w="2509" w:type="dxa"/>
            <w:vMerge w:val="restart"/>
            <w:tcBorders>
              <w:top w:val="nil"/>
              <w:left w:val="nil"/>
              <w:bottom w:val="nil"/>
              <w:right w:val="nil"/>
              <w:tl2br w:val="nil"/>
              <w:tr2bl w:val="nil"/>
            </w:tcBorders>
            <w:shd w:val="clear" w:color="auto" w:fill="FFFFFF"/>
            <w:vAlign w:val="center"/>
          </w:tcPr>
          <w:p w14:paraId="48432ED6" w14:textId="77777777" w:rsidR="00A36CBD" w:rsidRDefault="00A36CBD" w:rsidP="002761F1">
            <w:pPr>
              <w:spacing w:line="320" w:lineRule="atLeast"/>
              <w:ind w:left="60" w:right="60"/>
              <w:rPr>
                <w:rFonts w:ascii="Arial" w:hAnsi="Arial"/>
                <w:sz w:val="18"/>
              </w:rPr>
            </w:pPr>
            <w:r>
              <w:rPr>
                <w:rFonts w:ascii="Arial" w:hAnsi="Arial"/>
                <w:sz w:val="18"/>
              </w:rPr>
              <w:t>Income category in thousands</w:t>
            </w:r>
          </w:p>
        </w:tc>
        <w:tc>
          <w:tcPr>
            <w:tcW w:w="1191" w:type="dxa"/>
            <w:vMerge w:val="restart"/>
            <w:tcBorders>
              <w:top w:val="nil"/>
              <w:left w:val="nil"/>
              <w:bottom w:val="nil"/>
              <w:right w:val="nil"/>
              <w:tl2br w:val="nil"/>
              <w:tr2bl w:val="nil"/>
            </w:tcBorders>
            <w:shd w:val="clear" w:color="auto" w:fill="FFFFFF"/>
            <w:vAlign w:val="center"/>
          </w:tcPr>
          <w:p w14:paraId="5468A554" w14:textId="77777777" w:rsidR="00A36CBD" w:rsidRDefault="00A36CBD" w:rsidP="002761F1">
            <w:pPr>
              <w:spacing w:line="320" w:lineRule="atLeast"/>
              <w:ind w:left="60" w:right="60"/>
              <w:rPr>
                <w:rFonts w:ascii="Arial" w:hAnsi="Arial"/>
                <w:sz w:val="18"/>
              </w:rPr>
            </w:pPr>
            <w:r>
              <w:rPr>
                <w:rFonts w:ascii="Arial" w:hAnsi="Arial"/>
                <w:sz w:val="18"/>
              </w:rPr>
              <w:t>Under $25</w:t>
            </w:r>
          </w:p>
        </w:tc>
        <w:tc>
          <w:tcPr>
            <w:tcW w:w="736" w:type="dxa"/>
            <w:tcBorders>
              <w:top w:val="nil"/>
              <w:left w:val="nil"/>
              <w:bottom w:val="nil"/>
              <w:right w:val="single" w:sz="16" w:space="0" w:color="000000"/>
              <w:tl2br w:val="nil"/>
              <w:tr2bl w:val="nil"/>
            </w:tcBorders>
            <w:shd w:val="clear" w:color="auto" w:fill="FFFFFF"/>
            <w:vAlign w:val="center"/>
          </w:tcPr>
          <w:p w14:paraId="4D9B5C55"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5C321A65" w14:textId="77777777" w:rsidR="00A36CBD" w:rsidRDefault="00A36CBD" w:rsidP="002761F1">
            <w:pPr>
              <w:spacing w:line="320" w:lineRule="atLeast"/>
              <w:ind w:left="60" w:right="60"/>
              <w:jc w:val="right"/>
              <w:rPr>
                <w:rFonts w:ascii="Arial" w:hAnsi="Arial"/>
                <w:sz w:val="18"/>
              </w:rPr>
            </w:pPr>
            <w:r>
              <w:rPr>
                <w:rFonts w:ascii="Arial" w:hAnsi="Arial"/>
                <w:sz w:val="18"/>
              </w:rPr>
              <w:t>177</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92B75A7" w14:textId="77777777" w:rsidR="00A36CBD" w:rsidRDefault="00A36CBD" w:rsidP="002761F1">
            <w:pPr>
              <w:spacing w:line="320" w:lineRule="atLeast"/>
              <w:ind w:left="60" w:right="60"/>
              <w:jc w:val="right"/>
              <w:rPr>
                <w:rFonts w:ascii="Arial" w:hAnsi="Arial"/>
                <w:sz w:val="18"/>
              </w:rPr>
            </w:pPr>
            <w:r>
              <w:rPr>
                <w:rFonts w:ascii="Arial" w:hAnsi="Arial"/>
                <w:sz w:val="18"/>
              </w:rPr>
              <w:t>997</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634D3CCA" w14:textId="77777777" w:rsidR="00A36CBD" w:rsidRDefault="00A36CBD" w:rsidP="002761F1">
            <w:pPr>
              <w:spacing w:line="320" w:lineRule="atLeast"/>
              <w:ind w:left="60" w:right="60"/>
              <w:jc w:val="right"/>
              <w:rPr>
                <w:rFonts w:ascii="Arial" w:hAnsi="Arial"/>
                <w:sz w:val="18"/>
              </w:rPr>
            </w:pPr>
            <w:r>
              <w:rPr>
                <w:rFonts w:ascii="Arial" w:hAnsi="Arial"/>
                <w:sz w:val="18"/>
              </w:rPr>
              <w:t>1174</w:t>
            </w:r>
          </w:p>
        </w:tc>
      </w:tr>
      <w:tr w:rsidR="00A36CBD" w14:paraId="3E2CC034" w14:textId="77777777" w:rsidTr="002761F1">
        <w:trPr>
          <w:cantSplit/>
        </w:trPr>
        <w:tc>
          <w:tcPr>
            <w:tcW w:w="2510" w:type="dxa"/>
            <w:vMerge/>
            <w:tcBorders>
              <w:top w:val="nil"/>
              <w:left w:val="single" w:sz="16" w:space="0" w:color="000000"/>
              <w:bottom w:val="single" w:sz="16" w:space="0" w:color="000000"/>
              <w:right w:val="nil"/>
              <w:tl2br w:val="nil"/>
              <w:tr2bl w:val="nil"/>
            </w:tcBorders>
            <w:shd w:val="clear" w:color="auto" w:fill="FFFFFF"/>
            <w:vAlign w:val="center"/>
          </w:tcPr>
          <w:p w14:paraId="25CA6785"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60F22FC8"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461FFD06"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543AA233"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686D6241" w14:textId="77777777" w:rsidR="00A36CBD" w:rsidRDefault="00A36CBD" w:rsidP="002761F1">
            <w:pPr>
              <w:spacing w:line="320" w:lineRule="atLeast"/>
              <w:ind w:left="60" w:right="60"/>
              <w:jc w:val="right"/>
              <w:rPr>
                <w:rFonts w:ascii="Arial" w:hAnsi="Arial"/>
                <w:sz w:val="18"/>
              </w:rPr>
            </w:pPr>
            <w:r>
              <w:rPr>
                <w:rFonts w:ascii="Arial" w:hAnsi="Arial"/>
                <w:sz w:val="18"/>
              </w:rPr>
              <w:t>2.8%</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475F4EC0" w14:textId="77777777" w:rsidR="00A36CBD" w:rsidRDefault="00A36CBD" w:rsidP="002761F1">
            <w:pPr>
              <w:spacing w:line="320" w:lineRule="atLeast"/>
              <w:ind w:left="60" w:right="60"/>
              <w:jc w:val="right"/>
              <w:rPr>
                <w:rFonts w:ascii="Arial" w:hAnsi="Arial"/>
                <w:sz w:val="18"/>
              </w:rPr>
            </w:pPr>
            <w:r>
              <w:rPr>
                <w:rFonts w:ascii="Arial" w:hAnsi="Arial"/>
                <w:sz w:val="18"/>
              </w:rPr>
              <w:t>15.6%</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2E5CEE3F" w14:textId="77777777" w:rsidR="00A36CBD" w:rsidRDefault="00A36CBD" w:rsidP="002761F1">
            <w:pPr>
              <w:spacing w:line="320" w:lineRule="atLeast"/>
              <w:ind w:left="60" w:right="60"/>
              <w:jc w:val="right"/>
              <w:rPr>
                <w:rFonts w:ascii="Arial" w:hAnsi="Arial"/>
                <w:sz w:val="18"/>
              </w:rPr>
            </w:pPr>
            <w:r>
              <w:rPr>
                <w:rFonts w:ascii="Arial" w:hAnsi="Arial"/>
                <w:sz w:val="18"/>
              </w:rPr>
              <w:t>18.3%</w:t>
            </w:r>
          </w:p>
        </w:tc>
      </w:tr>
      <w:tr w:rsidR="00A36CBD" w14:paraId="26ECA0D1" w14:textId="77777777" w:rsidTr="002761F1">
        <w:trPr>
          <w:cantSplit/>
        </w:trPr>
        <w:tc>
          <w:tcPr>
            <w:tcW w:w="2510" w:type="dxa"/>
            <w:vMerge/>
            <w:tcBorders>
              <w:top w:val="nil"/>
              <w:left w:val="single" w:sz="16" w:space="0" w:color="000000"/>
              <w:bottom w:val="single" w:sz="16" w:space="0" w:color="000000"/>
              <w:right w:val="nil"/>
              <w:tl2br w:val="nil"/>
              <w:tr2bl w:val="nil"/>
            </w:tcBorders>
            <w:shd w:val="clear" w:color="auto" w:fill="FFFFFF"/>
            <w:vAlign w:val="center"/>
          </w:tcPr>
          <w:p w14:paraId="55D65225"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1A1A4BAE"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7DD61DCF" w14:textId="77777777" w:rsidR="00A36CBD" w:rsidRDefault="00A36CBD" w:rsidP="002761F1">
            <w:pPr>
              <w:spacing w:line="320" w:lineRule="atLeast"/>
              <w:ind w:left="60" w:right="60"/>
              <w:rPr>
                <w:rFonts w:ascii="Arial" w:hAnsi="Arial"/>
                <w:sz w:val="18"/>
              </w:rPr>
            </w:pPr>
            <w:r>
              <w:rPr>
                <w:rFonts w:ascii="Arial" w:hAnsi="Arial"/>
                <w:sz w:val="18"/>
              </w:rPr>
              <w:t>$25 - $49</w:t>
            </w:r>
          </w:p>
        </w:tc>
        <w:tc>
          <w:tcPr>
            <w:tcW w:w="736" w:type="dxa"/>
            <w:tcBorders>
              <w:top w:val="nil"/>
              <w:left w:val="nil"/>
              <w:bottom w:val="nil"/>
              <w:right w:val="single" w:sz="16" w:space="0" w:color="000000"/>
              <w:tl2br w:val="nil"/>
              <w:tr2bl w:val="nil"/>
            </w:tcBorders>
            <w:shd w:val="clear" w:color="auto" w:fill="FFFFFF"/>
            <w:vAlign w:val="center"/>
          </w:tcPr>
          <w:p w14:paraId="1A4298F8"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07F324DC" w14:textId="77777777" w:rsidR="00A36CBD" w:rsidRDefault="00A36CBD" w:rsidP="002761F1">
            <w:pPr>
              <w:spacing w:line="320" w:lineRule="atLeast"/>
              <w:ind w:left="60" w:right="60"/>
              <w:jc w:val="right"/>
              <w:rPr>
                <w:rFonts w:ascii="Arial" w:hAnsi="Arial"/>
                <w:sz w:val="18"/>
              </w:rPr>
            </w:pPr>
            <w:r>
              <w:rPr>
                <w:rFonts w:ascii="Arial" w:hAnsi="Arial"/>
                <w:sz w:val="18"/>
              </w:rPr>
              <w:t>75</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5D9B955" w14:textId="77777777" w:rsidR="00A36CBD" w:rsidRDefault="00A36CBD" w:rsidP="002761F1">
            <w:pPr>
              <w:spacing w:line="320" w:lineRule="atLeast"/>
              <w:ind w:left="60" w:right="60"/>
              <w:jc w:val="right"/>
              <w:rPr>
                <w:rFonts w:ascii="Arial" w:hAnsi="Arial"/>
                <w:sz w:val="18"/>
              </w:rPr>
            </w:pPr>
            <w:r>
              <w:rPr>
                <w:rFonts w:ascii="Arial" w:hAnsi="Arial"/>
                <w:sz w:val="18"/>
              </w:rPr>
              <w:t>2313</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CA7A833" w14:textId="77777777" w:rsidR="00A36CBD" w:rsidRDefault="00A36CBD" w:rsidP="002761F1">
            <w:pPr>
              <w:spacing w:line="320" w:lineRule="atLeast"/>
              <w:ind w:left="60" w:right="60"/>
              <w:jc w:val="right"/>
              <w:rPr>
                <w:rFonts w:ascii="Arial" w:hAnsi="Arial"/>
                <w:sz w:val="18"/>
              </w:rPr>
            </w:pPr>
            <w:r>
              <w:rPr>
                <w:rFonts w:ascii="Arial" w:hAnsi="Arial"/>
                <w:sz w:val="18"/>
              </w:rPr>
              <w:t>2388</w:t>
            </w:r>
          </w:p>
        </w:tc>
      </w:tr>
      <w:tr w:rsidR="00A36CBD" w14:paraId="2CFC9CA4" w14:textId="77777777" w:rsidTr="002761F1">
        <w:trPr>
          <w:cantSplit/>
        </w:trPr>
        <w:tc>
          <w:tcPr>
            <w:tcW w:w="2510" w:type="dxa"/>
            <w:vMerge/>
            <w:tcBorders>
              <w:top w:val="nil"/>
              <w:left w:val="single" w:sz="16" w:space="0" w:color="000000"/>
              <w:bottom w:val="single" w:sz="16" w:space="0" w:color="000000"/>
              <w:right w:val="nil"/>
              <w:tl2br w:val="nil"/>
              <w:tr2bl w:val="nil"/>
            </w:tcBorders>
            <w:shd w:val="clear" w:color="auto" w:fill="FFFFFF"/>
            <w:vAlign w:val="center"/>
          </w:tcPr>
          <w:p w14:paraId="5EE2482B"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29F77616"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1579E304"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0006CCB3"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FE7A401" w14:textId="77777777" w:rsidR="00A36CBD" w:rsidRDefault="00A36CBD" w:rsidP="002761F1">
            <w:pPr>
              <w:spacing w:line="320" w:lineRule="atLeast"/>
              <w:ind w:left="60" w:right="60"/>
              <w:jc w:val="right"/>
              <w:rPr>
                <w:rFonts w:ascii="Arial" w:hAnsi="Arial"/>
                <w:sz w:val="18"/>
              </w:rPr>
            </w:pPr>
            <w:r>
              <w:rPr>
                <w:rFonts w:ascii="Arial" w:hAnsi="Arial"/>
                <w:sz w:val="18"/>
              </w:rPr>
              <w:t>1.2%</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148B7DF4" w14:textId="77777777" w:rsidR="00A36CBD" w:rsidRDefault="00A36CBD" w:rsidP="002761F1">
            <w:pPr>
              <w:spacing w:line="320" w:lineRule="atLeast"/>
              <w:ind w:left="60" w:right="60"/>
              <w:jc w:val="right"/>
              <w:rPr>
                <w:rFonts w:ascii="Arial" w:hAnsi="Arial"/>
                <w:sz w:val="18"/>
              </w:rPr>
            </w:pPr>
            <w:r>
              <w:rPr>
                <w:rFonts w:ascii="Arial" w:hAnsi="Arial"/>
                <w:sz w:val="18"/>
              </w:rPr>
              <w:t>36.1%</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466BB49C" w14:textId="77777777" w:rsidR="00A36CBD" w:rsidRDefault="00A36CBD" w:rsidP="002761F1">
            <w:pPr>
              <w:spacing w:line="320" w:lineRule="atLeast"/>
              <w:ind w:left="60" w:right="60"/>
              <w:jc w:val="right"/>
              <w:rPr>
                <w:rFonts w:ascii="Arial" w:hAnsi="Arial"/>
                <w:sz w:val="18"/>
              </w:rPr>
            </w:pPr>
            <w:r>
              <w:rPr>
                <w:rFonts w:ascii="Arial" w:hAnsi="Arial"/>
                <w:sz w:val="18"/>
              </w:rPr>
              <w:t>37.3%</w:t>
            </w:r>
          </w:p>
        </w:tc>
      </w:tr>
      <w:tr w:rsidR="00A36CBD" w14:paraId="76218BDD" w14:textId="77777777" w:rsidTr="002761F1">
        <w:trPr>
          <w:cantSplit/>
        </w:trPr>
        <w:tc>
          <w:tcPr>
            <w:tcW w:w="2510" w:type="dxa"/>
            <w:vMerge/>
            <w:tcBorders>
              <w:top w:val="nil"/>
              <w:left w:val="single" w:sz="16" w:space="0" w:color="000000"/>
              <w:bottom w:val="single" w:sz="16" w:space="0" w:color="000000"/>
              <w:right w:val="nil"/>
              <w:tl2br w:val="nil"/>
              <w:tr2bl w:val="nil"/>
            </w:tcBorders>
            <w:shd w:val="clear" w:color="auto" w:fill="FFFFFF"/>
            <w:vAlign w:val="center"/>
          </w:tcPr>
          <w:p w14:paraId="7211FC7E"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37106177"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0A77D718" w14:textId="77777777" w:rsidR="00A36CBD" w:rsidRDefault="00A36CBD" w:rsidP="002761F1">
            <w:pPr>
              <w:spacing w:line="320" w:lineRule="atLeast"/>
              <w:ind w:left="60" w:right="60"/>
              <w:rPr>
                <w:rFonts w:ascii="Arial" w:hAnsi="Arial"/>
                <w:sz w:val="18"/>
              </w:rPr>
            </w:pPr>
            <w:r>
              <w:rPr>
                <w:rFonts w:ascii="Arial" w:hAnsi="Arial"/>
                <w:sz w:val="18"/>
              </w:rPr>
              <w:t>$50 - $74</w:t>
            </w:r>
          </w:p>
        </w:tc>
        <w:tc>
          <w:tcPr>
            <w:tcW w:w="736" w:type="dxa"/>
            <w:tcBorders>
              <w:top w:val="nil"/>
              <w:left w:val="nil"/>
              <w:bottom w:val="nil"/>
              <w:right w:val="single" w:sz="16" w:space="0" w:color="000000"/>
              <w:tl2br w:val="nil"/>
              <w:tr2bl w:val="nil"/>
            </w:tcBorders>
            <w:shd w:val="clear" w:color="auto" w:fill="FFFFFF"/>
            <w:vAlign w:val="center"/>
          </w:tcPr>
          <w:p w14:paraId="3283646C"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75B05F9E" w14:textId="77777777" w:rsidR="00A36CBD" w:rsidRDefault="00A36CBD" w:rsidP="002761F1">
            <w:pPr>
              <w:spacing w:line="320" w:lineRule="atLeast"/>
              <w:ind w:left="60" w:right="60"/>
              <w:jc w:val="right"/>
              <w:rPr>
                <w:rFonts w:ascii="Arial" w:hAnsi="Arial"/>
                <w:sz w:val="18"/>
              </w:rPr>
            </w:pPr>
            <w:r>
              <w:rPr>
                <w:rFonts w:ascii="Arial" w:hAnsi="Arial"/>
                <w:sz w:val="18"/>
              </w:rPr>
              <w:t>2</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0A512F2E" w14:textId="77777777" w:rsidR="00A36CBD" w:rsidRDefault="00A36CBD" w:rsidP="002761F1">
            <w:pPr>
              <w:spacing w:line="320" w:lineRule="atLeast"/>
              <w:ind w:left="60" w:right="60"/>
              <w:jc w:val="right"/>
              <w:rPr>
                <w:rFonts w:ascii="Arial" w:hAnsi="Arial"/>
                <w:sz w:val="18"/>
              </w:rPr>
            </w:pPr>
            <w:r>
              <w:rPr>
                <w:rFonts w:ascii="Arial" w:hAnsi="Arial"/>
                <w:sz w:val="18"/>
              </w:rPr>
              <w:t>1118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678BB812" w14:textId="77777777" w:rsidR="00A36CBD" w:rsidRDefault="00A36CBD" w:rsidP="002761F1">
            <w:pPr>
              <w:spacing w:line="320" w:lineRule="atLeast"/>
              <w:ind w:left="60" w:right="60"/>
              <w:jc w:val="right"/>
              <w:rPr>
                <w:rFonts w:ascii="Arial" w:hAnsi="Arial"/>
                <w:sz w:val="18"/>
              </w:rPr>
            </w:pPr>
            <w:r>
              <w:rPr>
                <w:rFonts w:ascii="Arial" w:hAnsi="Arial"/>
                <w:sz w:val="18"/>
              </w:rPr>
              <w:t>1120</w:t>
            </w:r>
          </w:p>
        </w:tc>
      </w:tr>
      <w:tr w:rsidR="00A36CBD" w14:paraId="752DCFF1" w14:textId="77777777" w:rsidTr="002761F1">
        <w:trPr>
          <w:cantSplit/>
        </w:trPr>
        <w:tc>
          <w:tcPr>
            <w:tcW w:w="2510" w:type="dxa"/>
            <w:vMerge/>
            <w:tcBorders>
              <w:top w:val="nil"/>
              <w:left w:val="single" w:sz="16" w:space="0" w:color="000000"/>
              <w:bottom w:val="single" w:sz="16" w:space="0" w:color="000000"/>
              <w:right w:val="nil"/>
              <w:tl2br w:val="nil"/>
              <w:tr2bl w:val="nil"/>
            </w:tcBorders>
            <w:shd w:val="clear" w:color="auto" w:fill="FFFFFF"/>
            <w:vAlign w:val="center"/>
          </w:tcPr>
          <w:p w14:paraId="7FFF8AC0"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97AF67E"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4D4EF44C"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68FEEE1C"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17019499" w14:textId="77777777" w:rsidR="00A36CBD" w:rsidRDefault="00A36CBD" w:rsidP="002761F1">
            <w:pPr>
              <w:spacing w:line="320" w:lineRule="atLeast"/>
              <w:ind w:left="60" w:right="60"/>
              <w:jc w:val="right"/>
              <w:rPr>
                <w:rFonts w:ascii="Arial" w:hAnsi="Arial"/>
                <w:sz w:val="18"/>
              </w:rPr>
            </w:pPr>
            <w:r>
              <w:rPr>
                <w:rFonts w:ascii="Arial" w:hAnsi="Arial"/>
                <w:sz w:val="18"/>
              </w:rPr>
              <w:t>0.0%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32AE5EB1" w14:textId="77777777" w:rsidR="00A36CBD" w:rsidRDefault="00A36CBD" w:rsidP="002761F1">
            <w:pPr>
              <w:spacing w:line="320" w:lineRule="atLeast"/>
              <w:ind w:left="60" w:right="60"/>
              <w:jc w:val="right"/>
              <w:rPr>
                <w:rFonts w:ascii="Arial" w:hAnsi="Arial"/>
                <w:sz w:val="18"/>
              </w:rPr>
            </w:pPr>
            <w:r>
              <w:rPr>
                <w:rFonts w:ascii="Arial" w:hAnsi="Arial"/>
                <w:sz w:val="18"/>
              </w:rPr>
              <w:t>17.5%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66736D1D" w14:textId="77777777" w:rsidR="00A36CBD" w:rsidRDefault="00A36CBD" w:rsidP="002761F1">
            <w:pPr>
              <w:spacing w:line="320" w:lineRule="atLeast"/>
              <w:ind w:left="60" w:right="60"/>
              <w:jc w:val="right"/>
              <w:rPr>
                <w:rFonts w:ascii="Arial" w:hAnsi="Arial"/>
                <w:sz w:val="18"/>
              </w:rPr>
            </w:pPr>
            <w:r>
              <w:rPr>
                <w:rFonts w:ascii="Arial" w:hAnsi="Arial"/>
                <w:sz w:val="18"/>
              </w:rPr>
              <w:t>17.5%</w:t>
            </w:r>
          </w:p>
        </w:tc>
      </w:tr>
      <w:tr w:rsidR="00A36CBD" w14:paraId="296E7088" w14:textId="77777777" w:rsidTr="002761F1">
        <w:trPr>
          <w:cantSplit/>
        </w:trPr>
        <w:tc>
          <w:tcPr>
            <w:tcW w:w="2510" w:type="dxa"/>
            <w:vMerge/>
            <w:tcBorders>
              <w:top w:val="nil"/>
              <w:left w:val="single" w:sz="16" w:space="0" w:color="000000"/>
              <w:bottom w:val="single" w:sz="16" w:space="0" w:color="000000"/>
              <w:right w:val="nil"/>
              <w:tl2br w:val="nil"/>
              <w:tr2bl w:val="nil"/>
            </w:tcBorders>
            <w:shd w:val="clear" w:color="auto" w:fill="FFFFFF"/>
            <w:vAlign w:val="center"/>
          </w:tcPr>
          <w:p w14:paraId="798F4BA8"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95656A8" w14:textId="77777777" w:rsidR="00A36CBD" w:rsidRDefault="00A36CBD" w:rsidP="002761F1">
            <w:pPr>
              <w:rPr>
                <w:rFonts w:ascii="Arial" w:hAnsi="Arial"/>
                <w:sz w:val="18"/>
              </w:rPr>
            </w:pPr>
          </w:p>
        </w:tc>
        <w:tc>
          <w:tcPr>
            <w:tcW w:w="1191" w:type="dxa"/>
            <w:vMerge w:val="restart"/>
            <w:tcBorders>
              <w:top w:val="nil"/>
              <w:left w:val="nil"/>
              <w:bottom w:val="nil"/>
              <w:right w:val="nil"/>
              <w:tl2br w:val="nil"/>
              <w:tr2bl w:val="nil"/>
            </w:tcBorders>
            <w:shd w:val="clear" w:color="auto" w:fill="FFFFFF"/>
            <w:vAlign w:val="center"/>
          </w:tcPr>
          <w:p w14:paraId="504730CA" w14:textId="77777777" w:rsidR="00A36CBD" w:rsidRDefault="00A36CBD" w:rsidP="002761F1">
            <w:pPr>
              <w:spacing w:line="320" w:lineRule="atLeast"/>
              <w:ind w:left="60" w:right="60"/>
              <w:rPr>
                <w:rFonts w:ascii="Arial" w:hAnsi="Arial"/>
                <w:sz w:val="18"/>
              </w:rPr>
            </w:pPr>
            <w:r>
              <w:rPr>
                <w:rFonts w:ascii="Arial" w:hAnsi="Arial"/>
                <w:sz w:val="18"/>
              </w:rPr>
              <w:t>$75+</w:t>
            </w:r>
          </w:p>
        </w:tc>
        <w:tc>
          <w:tcPr>
            <w:tcW w:w="736" w:type="dxa"/>
            <w:tcBorders>
              <w:top w:val="nil"/>
              <w:left w:val="nil"/>
              <w:bottom w:val="nil"/>
              <w:right w:val="single" w:sz="16" w:space="0" w:color="000000"/>
              <w:tl2br w:val="nil"/>
              <w:tr2bl w:val="nil"/>
            </w:tcBorders>
            <w:shd w:val="clear" w:color="auto" w:fill="FFFFFF"/>
            <w:vAlign w:val="center"/>
          </w:tcPr>
          <w:p w14:paraId="56279358"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474C6844" w14:textId="77777777" w:rsidR="00A36CBD" w:rsidRDefault="00A36CBD" w:rsidP="002761F1">
            <w:pPr>
              <w:spacing w:line="320" w:lineRule="atLeast"/>
              <w:ind w:left="60" w:right="60"/>
              <w:jc w:val="right"/>
              <w:rPr>
                <w:rFonts w:ascii="Arial" w:hAnsi="Arial"/>
                <w:sz w:val="18"/>
              </w:rPr>
            </w:pPr>
            <w:r>
              <w:rPr>
                <w:rFonts w:ascii="Arial" w:hAnsi="Arial"/>
                <w:sz w:val="18"/>
              </w:rPr>
              <w:t>1</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5948D59D" w14:textId="77777777" w:rsidR="00A36CBD" w:rsidRDefault="00A36CBD" w:rsidP="002761F1">
            <w:pPr>
              <w:spacing w:line="320" w:lineRule="atLeast"/>
              <w:ind w:left="60" w:right="60"/>
              <w:jc w:val="right"/>
              <w:rPr>
                <w:rFonts w:ascii="Arial" w:hAnsi="Arial"/>
                <w:sz w:val="18"/>
              </w:rPr>
            </w:pPr>
            <w:r>
              <w:rPr>
                <w:rFonts w:ascii="Arial" w:hAnsi="Arial"/>
                <w:sz w:val="18"/>
              </w:rPr>
              <w:t>1717</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A37CADD" w14:textId="77777777" w:rsidR="00A36CBD" w:rsidRDefault="00A36CBD" w:rsidP="002761F1">
            <w:pPr>
              <w:spacing w:line="320" w:lineRule="atLeast"/>
              <w:ind w:left="60" w:right="60"/>
              <w:jc w:val="right"/>
              <w:rPr>
                <w:rFonts w:ascii="Arial" w:hAnsi="Arial"/>
                <w:sz w:val="18"/>
              </w:rPr>
            </w:pPr>
            <w:r>
              <w:rPr>
                <w:rFonts w:ascii="Arial" w:hAnsi="Arial"/>
                <w:sz w:val="18"/>
              </w:rPr>
              <w:t>1718</w:t>
            </w:r>
          </w:p>
        </w:tc>
      </w:tr>
      <w:tr w:rsidR="00A36CBD" w14:paraId="299F68EC" w14:textId="77777777" w:rsidTr="002761F1">
        <w:trPr>
          <w:cantSplit/>
        </w:trPr>
        <w:tc>
          <w:tcPr>
            <w:tcW w:w="2510" w:type="dxa"/>
            <w:vMerge/>
            <w:tcBorders>
              <w:top w:val="nil"/>
              <w:left w:val="single" w:sz="16" w:space="0" w:color="000000"/>
              <w:bottom w:val="single" w:sz="16" w:space="0" w:color="000000"/>
              <w:right w:val="nil"/>
              <w:tl2br w:val="nil"/>
              <w:tr2bl w:val="nil"/>
            </w:tcBorders>
            <w:shd w:val="clear" w:color="auto" w:fill="FFFFFF"/>
            <w:vAlign w:val="center"/>
          </w:tcPr>
          <w:p w14:paraId="0CDFC8A2" w14:textId="77777777" w:rsidR="00A36CBD" w:rsidRDefault="00A36CBD" w:rsidP="002761F1">
            <w:pPr>
              <w:rPr>
                <w:rFonts w:ascii="Arial" w:hAnsi="Arial"/>
                <w:sz w:val="18"/>
              </w:rPr>
            </w:pPr>
          </w:p>
        </w:tc>
        <w:tc>
          <w:tcPr>
            <w:tcW w:w="2509" w:type="dxa"/>
            <w:vMerge/>
            <w:tcBorders>
              <w:top w:val="nil"/>
              <w:left w:val="nil"/>
              <w:bottom w:val="nil"/>
              <w:right w:val="nil"/>
              <w:tl2br w:val="nil"/>
              <w:tr2bl w:val="nil"/>
            </w:tcBorders>
            <w:shd w:val="clear" w:color="auto" w:fill="FFFFFF"/>
            <w:vAlign w:val="center"/>
          </w:tcPr>
          <w:p w14:paraId="00209D50" w14:textId="77777777" w:rsidR="00A36CBD" w:rsidRDefault="00A36CBD" w:rsidP="002761F1">
            <w:pPr>
              <w:rPr>
                <w:rFonts w:ascii="Arial" w:hAnsi="Arial"/>
                <w:sz w:val="18"/>
              </w:rPr>
            </w:pPr>
          </w:p>
        </w:tc>
        <w:tc>
          <w:tcPr>
            <w:tcW w:w="1191" w:type="dxa"/>
            <w:vMerge/>
            <w:tcBorders>
              <w:top w:val="nil"/>
              <w:left w:val="nil"/>
              <w:bottom w:val="nil"/>
              <w:right w:val="nil"/>
              <w:tl2br w:val="nil"/>
              <w:tr2bl w:val="nil"/>
            </w:tcBorders>
            <w:shd w:val="clear" w:color="auto" w:fill="FFFFFF"/>
            <w:vAlign w:val="center"/>
          </w:tcPr>
          <w:p w14:paraId="7E3FAAD9" w14:textId="77777777" w:rsidR="00A36CBD" w:rsidRDefault="00A36CBD" w:rsidP="002761F1">
            <w:pPr>
              <w:rPr>
                <w:rFonts w:ascii="Arial" w:hAnsi="Arial"/>
                <w:sz w:val="18"/>
              </w:rPr>
            </w:pPr>
          </w:p>
        </w:tc>
        <w:tc>
          <w:tcPr>
            <w:tcW w:w="736" w:type="dxa"/>
            <w:tcBorders>
              <w:top w:val="nil"/>
              <w:left w:val="nil"/>
              <w:bottom w:val="nil"/>
              <w:right w:val="single" w:sz="16" w:space="0" w:color="000000"/>
              <w:tl2br w:val="nil"/>
              <w:tr2bl w:val="nil"/>
            </w:tcBorders>
            <w:shd w:val="clear" w:color="auto" w:fill="FFFFFF"/>
            <w:vAlign w:val="center"/>
          </w:tcPr>
          <w:p w14:paraId="6B8A4E27"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33E5180B" w14:textId="77777777" w:rsidR="00A36CBD" w:rsidRDefault="00A36CBD" w:rsidP="002761F1">
            <w:pPr>
              <w:spacing w:line="320" w:lineRule="atLeast"/>
              <w:ind w:left="60" w:right="60"/>
              <w:jc w:val="right"/>
              <w:rPr>
                <w:rFonts w:ascii="Arial" w:hAnsi="Arial"/>
                <w:sz w:val="18"/>
              </w:rPr>
            </w:pPr>
            <w:r>
              <w:rPr>
                <w:rFonts w:ascii="Arial" w:hAnsi="Arial"/>
                <w:sz w:val="18"/>
              </w:rPr>
              <w:t>0.0%</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76D82ACB" w14:textId="77777777" w:rsidR="00A36CBD" w:rsidRDefault="00A36CBD" w:rsidP="002761F1">
            <w:pPr>
              <w:spacing w:line="320" w:lineRule="atLeast"/>
              <w:ind w:left="60" w:right="60"/>
              <w:jc w:val="right"/>
              <w:rPr>
                <w:rFonts w:ascii="Arial" w:hAnsi="Arial"/>
                <w:sz w:val="18"/>
              </w:rPr>
            </w:pPr>
            <w:r>
              <w:rPr>
                <w:rFonts w:ascii="Arial" w:hAnsi="Arial"/>
                <w:sz w:val="18"/>
              </w:rPr>
              <w:t>26.8%</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DEEB4EA" w14:textId="77777777" w:rsidR="00A36CBD" w:rsidRDefault="00A36CBD" w:rsidP="002761F1">
            <w:pPr>
              <w:spacing w:line="320" w:lineRule="atLeast"/>
              <w:ind w:left="60" w:right="60"/>
              <w:jc w:val="right"/>
              <w:rPr>
                <w:rFonts w:ascii="Arial" w:hAnsi="Arial"/>
                <w:sz w:val="18"/>
              </w:rPr>
            </w:pPr>
            <w:r>
              <w:rPr>
                <w:rFonts w:ascii="Arial" w:hAnsi="Arial"/>
                <w:sz w:val="18"/>
              </w:rPr>
              <w:t>26.8%</w:t>
            </w:r>
          </w:p>
        </w:tc>
      </w:tr>
      <w:tr w:rsidR="00A36CBD" w14:paraId="2425AD86" w14:textId="77777777" w:rsidTr="002761F1">
        <w:trPr>
          <w:cantSplit/>
        </w:trPr>
        <w:tc>
          <w:tcPr>
            <w:tcW w:w="2510" w:type="dxa"/>
            <w:vMerge/>
            <w:tcBorders>
              <w:top w:val="nil"/>
              <w:left w:val="single" w:sz="16" w:space="0" w:color="000000"/>
              <w:bottom w:val="single" w:sz="16" w:space="0" w:color="000000"/>
              <w:right w:val="nil"/>
              <w:tl2br w:val="nil"/>
              <w:tr2bl w:val="nil"/>
            </w:tcBorders>
            <w:shd w:val="clear" w:color="auto" w:fill="FFFFFF"/>
            <w:vAlign w:val="center"/>
          </w:tcPr>
          <w:p w14:paraId="6388FF7F" w14:textId="77777777" w:rsidR="00A36CBD" w:rsidRDefault="00A36CBD" w:rsidP="002761F1">
            <w:pPr>
              <w:rPr>
                <w:rFonts w:ascii="Arial" w:hAnsi="Arial"/>
                <w:sz w:val="18"/>
              </w:rPr>
            </w:pPr>
          </w:p>
        </w:tc>
        <w:tc>
          <w:tcPr>
            <w:tcW w:w="3700" w:type="dxa"/>
            <w:gridSpan w:val="2"/>
            <w:vMerge w:val="restart"/>
            <w:tcBorders>
              <w:top w:val="nil"/>
              <w:left w:val="nil"/>
              <w:bottom w:val="single" w:sz="16" w:space="0" w:color="000000"/>
              <w:right w:val="nil"/>
              <w:tl2br w:val="nil"/>
              <w:tr2bl w:val="nil"/>
            </w:tcBorders>
            <w:shd w:val="clear" w:color="auto" w:fill="FFFFFF"/>
            <w:vAlign w:val="center"/>
          </w:tcPr>
          <w:p w14:paraId="19BE9C35" w14:textId="77777777" w:rsidR="00A36CBD" w:rsidRDefault="00A36CBD" w:rsidP="002761F1">
            <w:pPr>
              <w:spacing w:line="320" w:lineRule="atLeast"/>
              <w:ind w:left="60" w:right="60"/>
              <w:rPr>
                <w:rFonts w:ascii="Arial" w:hAnsi="Arial"/>
                <w:sz w:val="18"/>
              </w:rPr>
            </w:pPr>
            <w:r>
              <w:rPr>
                <w:rFonts w:ascii="Arial" w:hAnsi="Arial"/>
                <w:sz w:val="18"/>
              </w:rPr>
              <w:t>Total</w:t>
            </w:r>
          </w:p>
        </w:tc>
        <w:tc>
          <w:tcPr>
            <w:tcW w:w="736" w:type="dxa"/>
            <w:tcBorders>
              <w:top w:val="nil"/>
              <w:left w:val="nil"/>
              <w:bottom w:val="nil"/>
              <w:right w:val="single" w:sz="16" w:space="0" w:color="000000"/>
              <w:tl2br w:val="nil"/>
              <w:tr2bl w:val="nil"/>
            </w:tcBorders>
            <w:shd w:val="clear" w:color="auto" w:fill="FFFFFF"/>
            <w:vAlign w:val="center"/>
          </w:tcPr>
          <w:p w14:paraId="407B5467" w14:textId="77777777" w:rsidR="00A36CBD" w:rsidRDefault="00A36CBD" w:rsidP="002761F1">
            <w:pPr>
              <w:spacing w:line="320" w:lineRule="atLeast"/>
              <w:ind w:left="60" w:right="60"/>
              <w:rPr>
                <w:rFonts w:ascii="Arial" w:hAnsi="Arial"/>
                <w:sz w:val="18"/>
              </w:rPr>
            </w:pPr>
            <w:r>
              <w:rPr>
                <w:rFonts w:ascii="Arial" w:hAnsi="Arial"/>
                <w:sz w:val="18"/>
              </w:rPr>
              <w:t>Count</w:t>
            </w:r>
          </w:p>
        </w:tc>
        <w:tc>
          <w:tcPr>
            <w:tcW w:w="709" w:type="dxa"/>
            <w:tcBorders>
              <w:top w:val="nil"/>
              <w:left w:val="single" w:sz="16" w:space="0" w:color="000000"/>
              <w:bottom w:val="nil"/>
              <w:right w:val="single" w:sz="8" w:space="0" w:color="000000"/>
              <w:tl2br w:val="nil"/>
              <w:tr2bl w:val="nil"/>
            </w:tcBorders>
            <w:shd w:val="clear" w:color="auto" w:fill="FFFFFF"/>
            <w:vAlign w:val="center"/>
          </w:tcPr>
          <w:p w14:paraId="5661C144" w14:textId="77777777" w:rsidR="00A36CBD" w:rsidRDefault="00A36CBD" w:rsidP="002761F1">
            <w:pPr>
              <w:spacing w:line="320" w:lineRule="atLeast"/>
              <w:ind w:left="60" w:right="60"/>
              <w:jc w:val="right"/>
              <w:rPr>
                <w:rFonts w:ascii="Arial" w:hAnsi="Arial"/>
                <w:sz w:val="18"/>
              </w:rPr>
            </w:pPr>
            <w:r>
              <w:rPr>
                <w:rFonts w:ascii="Arial" w:hAnsi="Arial"/>
                <w:sz w:val="18"/>
              </w:rPr>
              <w:t>255</w:t>
            </w:r>
          </w:p>
        </w:tc>
        <w:tc>
          <w:tcPr>
            <w:tcW w:w="850" w:type="dxa"/>
            <w:tcBorders>
              <w:top w:val="nil"/>
              <w:left w:val="single" w:sz="8" w:space="0" w:color="000000"/>
              <w:bottom w:val="nil"/>
              <w:right w:val="single" w:sz="8" w:space="0" w:color="000000"/>
              <w:tl2br w:val="nil"/>
              <w:tr2bl w:val="nil"/>
            </w:tcBorders>
            <w:shd w:val="clear" w:color="auto" w:fill="FFFFFF"/>
            <w:vAlign w:val="center"/>
          </w:tcPr>
          <w:p w14:paraId="7F404356" w14:textId="77777777" w:rsidR="00A36CBD" w:rsidRDefault="00A36CBD" w:rsidP="002761F1">
            <w:pPr>
              <w:spacing w:line="320" w:lineRule="atLeast"/>
              <w:ind w:left="60" w:right="60"/>
              <w:jc w:val="right"/>
              <w:rPr>
                <w:rFonts w:ascii="Arial" w:hAnsi="Arial"/>
                <w:sz w:val="18"/>
              </w:rPr>
            </w:pPr>
            <w:r>
              <w:rPr>
                <w:rFonts w:ascii="Arial" w:hAnsi="Arial"/>
                <w:sz w:val="18"/>
              </w:rPr>
              <w:t>6145</w:t>
            </w:r>
          </w:p>
        </w:tc>
        <w:tc>
          <w:tcPr>
            <w:tcW w:w="709" w:type="dxa"/>
            <w:tcBorders>
              <w:top w:val="nil"/>
              <w:left w:val="single" w:sz="8" w:space="0" w:color="000000"/>
              <w:bottom w:val="nil"/>
              <w:right w:val="single" w:sz="16" w:space="0" w:color="000000"/>
              <w:tl2br w:val="nil"/>
              <w:tr2bl w:val="nil"/>
            </w:tcBorders>
            <w:shd w:val="clear" w:color="auto" w:fill="FFFFFF"/>
            <w:vAlign w:val="center"/>
          </w:tcPr>
          <w:p w14:paraId="5F644130" w14:textId="77777777" w:rsidR="00A36CBD" w:rsidRDefault="00A36CBD" w:rsidP="002761F1">
            <w:pPr>
              <w:spacing w:line="320" w:lineRule="atLeast"/>
              <w:ind w:left="60" w:right="60"/>
              <w:jc w:val="right"/>
              <w:rPr>
                <w:rFonts w:ascii="Arial" w:hAnsi="Arial"/>
                <w:sz w:val="18"/>
              </w:rPr>
            </w:pPr>
            <w:r>
              <w:rPr>
                <w:rFonts w:ascii="Arial" w:hAnsi="Arial"/>
                <w:sz w:val="18"/>
              </w:rPr>
              <w:t>6400</w:t>
            </w:r>
          </w:p>
        </w:tc>
      </w:tr>
      <w:tr w:rsidR="00A36CBD" w14:paraId="78BE2CD8" w14:textId="77777777" w:rsidTr="002761F1">
        <w:trPr>
          <w:cantSplit/>
        </w:trPr>
        <w:tc>
          <w:tcPr>
            <w:tcW w:w="2510" w:type="dxa"/>
            <w:vMerge/>
            <w:tcBorders>
              <w:top w:val="nil"/>
              <w:left w:val="single" w:sz="16" w:space="0" w:color="000000"/>
              <w:bottom w:val="single" w:sz="16" w:space="0" w:color="000000"/>
              <w:right w:val="nil"/>
              <w:tl2br w:val="nil"/>
              <w:tr2bl w:val="nil"/>
            </w:tcBorders>
            <w:shd w:val="clear" w:color="auto" w:fill="FFFFFF"/>
            <w:vAlign w:val="center"/>
          </w:tcPr>
          <w:p w14:paraId="547EB469" w14:textId="77777777" w:rsidR="00A36CBD" w:rsidRDefault="00A36CBD" w:rsidP="002761F1">
            <w:pPr>
              <w:rPr>
                <w:rFonts w:ascii="Arial" w:hAnsi="Arial"/>
                <w:sz w:val="18"/>
              </w:rPr>
            </w:pPr>
          </w:p>
        </w:tc>
        <w:tc>
          <w:tcPr>
            <w:tcW w:w="3700" w:type="dxa"/>
            <w:gridSpan w:val="2"/>
            <w:vMerge/>
            <w:tcBorders>
              <w:top w:val="nil"/>
              <w:left w:val="nil"/>
              <w:bottom w:val="single" w:sz="16" w:space="0" w:color="000000"/>
              <w:right w:val="nil"/>
              <w:tl2br w:val="nil"/>
              <w:tr2bl w:val="nil"/>
            </w:tcBorders>
            <w:shd w:val="clear" w:color="auto" w:fill="FFFFFF"/>
            <w:vAlign w:val="center"/>
          </w:tcPr>
          <w:p w14:paraId="1BDC0BF8" w14:textId="77777777" w:rsidR="00A36CBD" w:rsidRDefault="00A36CBD" w:rsidP="002761F1">
            <w:pPr>
              <w:rPr>
                <w:rFonts w:ascii="Arial" w:hAnsi="Arial"/>
                <w:sz w:val="18"/>
              </w:rPr>
            </w:pPr>
          </w:p>
        </w:tc>
        <w:tc>
          <w:tcPr>
            <w:tcW w:w="736" w:type="dxa"/>
            <w:tcBorders>
              <w:top w:val="nil"/>
              <w:left w:val="nil"/>
              <w:bottom w:val="single" w:sz="16" w:space="0" w:color="000000"/>
              <w:right w:val="single" w:sz="16" w:space="0" w:color="000000"/>
              <w:tl2br w:val="nil"/>
              <w:tr2bl w:val="nil"/>
            </w:tcBorders>
            <w:shd w:val="clear" w:color="auto" w:fill="FFFFFF"/>
            <w:vAlign w:val="center"/>
          </w:tcPr>
          <w:p w14:paraId="63C3EB2E" w14:textId="77777777" w:rsidR="00A36CBD" w:rsidRDefault="00A36CBD" w:rsidP="002761F1">
            <w:pPr>
              <w:spacing w:line="320" w:lineRule="atLeast"/>
              <w:ind w:left="60" w:right="60"/>
              <w:rPr>
                <w:rFonts w:ascii="Arial" w:hAnsi="Arial"/>
                <w:sz w:val="18"/>
              </w:rPr>
            </w:pPr>
            <w:r>
              <w:rPr>
                <w:rFonts w:ascii="Arial" w:hAnsi="Arial"/>
                <w:sz w:val="18"/>
              </w:rPr>
              <w:t>% of Total</w:t>
            </w:r>
          </w:p>
        </w:tc>
        <w:tc>
          <w:tcPr>
            <w:tcW w:w="709" w:type="dxa"/>
            <w:tcBorders>
              <w:top w:val="nil"/>
              <w:left w:val="single" w:sz="16" w:space="0" w:color="000000"/>
              <w:bottom w:val="single" w:sz="16" w:space="0" w:color="000000"/>
              <w:right w:val="single" w:sz="8" w:space="0" w:color="000000"/>
              <w:tl2br w:val="nil"/>
              <w:tr2bl w:val="nil"/>
            </w:tcBorders>
            <w:shd w:val="clear" w:color="auto" w:fill="FFFFFF"/>
            <w:vAlign w:val="center"/>
          </w:tcPr>
          <w:p w14:paraId="6E22257D" w14:textId="77777777" w:rsidR="00A36CBD" w:rsidRDefault="00A36CBD" w:rsidP="002761F1">
            <w:pPr>
              <w:spacing w:line="320" w:lineRule="atLeast"/>
              <w:ind w:left="60" w:right="60"/>
              <w:jc w:val="right"/>
              <w:rPr>
                <w:rFonts w:ascii="Arial" w:hAnsi="Arial"/>
                <w:sz w:val="18"/>
              </w:rPr>
            </w:pPr>
            <w:r>
              <w:rPr>
                <w:rFonts w:ascii="Arial" w:hAnsi="Arial"/>
                <w:sz w:val="18"/>
              </w:rPr>
              <w:t>4.0%</w:t>
            </w:r>
          </w:p>
        </w:tc>
        <w:tc>
          <w:tcPr>
            <w:tcW w:w="850" w:type="dxa"/>
            <w:tcBorders>
              <w:top w:val="nil"/>
              <w:left w:val="single" w:sz="8" w:space="0" w:color="000000"/>
              <w:bottom w:val="single" w:sz="16" w:space="0" w:color="000000"/>
              <w:right w:val="single" w:sz="8" w:space="0" w:color="000000"/>
              <w:tl2br w:val="nil"/>
              <w:tr2bl w:val="nil"/>
            </w:tcBorders>
            <w:shd w:val="clear" w:color="auto" w:fill="FFFFFF"/>
            <w:vAlign w:val="center"/>
          </w:tcPr>
          <w:p w14:paraId="2F052E30" w14:textId="77777777" w:rsidR="00A36CBD" w:rsidRDefault="00A36CBD" w:rsidP="002761F1">
            <w:pPr>
              <w:spacing w:line="320" w:lineRule="atLeast"/>
              <w:ind w:left="60" w:right="60"/>
              <w:jc w:val="right"/>
              <w:rPr>
                <w:rFonts w:ascii="Arial" w:hAnsi="Arial"/>
                <w:sz w:val="18"/>
              </w:rPr>
            </w:pPr>
            <w:r>
              <w:rPr>
                <w:rFonts w:ascii="Arial" w:hAnsi="Arial"/>
                <w:sz w:val="18"/>
              </w:rPr>
              <w:t>96.0%</w:t>
            </w:r>
          </w:p>
        </w:tc>
        <w:tc>
          <w:tcPr>
            <w:tcW w:w="709" w:type="dxa"/>
            <w:tcBorders>
              <w:top w:val="nil"/>
              <w:left w:val="single" w:sz="8" w:space="0" w:color="000000"/>
              <w:bottom w:val="single" w:sz="16" w:space="0" w:color="000000"/>
              <w:right w:val="single" w:sz="16" w:space="0" w:color="000000"/>
              <w:tl2br w:val="nil"/>
              <w:tr2bl w:val="nil"/>
            </w:tcBorders>
            <w:shd w:val="clear" w:color="auto" w:fill="FFFFFF"/>
            <w:vAlign w:val="center"/>
          </w:tcPr>
          <w:p w14:paraId="74C9B1FD" w14:textId="77777777" w:rsidR="00A36CBD" w:rsidRDefault="00A36CBD" w:rsidP="002761F1">
            <w:pPr>
              <w:spacing w:line="320" w:lineRule="atLeast"/>
              <w:ind w:left="60" w:right="60"/>
              <w:jc w:val="right"/>
              <w:rPr>
                <w:rFonts w:ascii="Arial" w:hAnsi="Arial"/>
                <w:sz w:val="18"/>
              </w:rPr>
            </w:pPr>
            <w:r>
              <w:rPr>
                <w:rFonts w:ascii="Arial" w:hAnsi="Arial"/>
                <w:sz w:val="18"/>
              </w:rPr>
              <w:t>100.0%</w:t>
            </w:r>
          </w:p>
        </w:tc>
      </w:tr>
    </w:tbl>
    <w:p w14:paraId="3442D909" w14:textId="77777777" w:rsidR="00A41C61" w:rsidRPr="00A41C61" w:rsidRDefault="00A41C61" w:rsidP="00A41C61">
      <w:pPr>
        <w:rPr>
          <w:rFonts w:ascii="Times New Roman" w:hAnsi="Times New Roman" w:cs="Times New Roman"/>
          <w:sz w:val="18"/>
          <w:szCs w:val="18"/>
        </w:rPr>
      </w:pPr>
    </w:p>
    <w:p w14:paraId="038CEFE9" w14:textId="77777777" w:rsidR="00A41C61" w:rsidRPr="00A41C61" w:rsidRDefault="00A41C61" w:rsidP="00A41C61">
      <w:pPr>
        <w:rPr>
          <w:rFonts w:ascii="Times New Roman" w:hAnsi="Times New Roman" w:cs="Times New Roman"/>
          <w:sz w:val="18"/>
          <w:szCs w:val="18"/>
        </w:rPr>
      </w:pPr>
    </w:p>
    <w:p w14:paraId="50DC759E" w14:textId="77777777" w:rsidR="00A41C61" w:rsidRPr="00A41C61" w:rsidRDefault="00A41C61" w:rsidP="00A41C61">
      <w:pPr>
        <w:rPr>
          <w:rFonts w:ascii="Times New Roman" w:hAnsi="Times New Roman" w:cs="Times New Roman"/>
          <w:sz w:val="18"/>
          <w:szCs w:val="18"/>
        </w:rPr>
      </w:pPr>
    </w:p>
    <w:p w14:paraId="3498FC2D" w14:textId="77777777" w:rsidR="00A41C61" w:rsidRPr="00A41C61" w:rsidRDefault="00A41C61" w:rsidP="00A41C61">
      <w:pPr>
        <w:rPr>
          <w:rFonts w:ascii="Times New Roman" w:hAnsi="Times New Roman" w:cs="Times New Roman"/>
          <w:sz w:val="18"/>
          <w:szCs w:val="18"/>
        </w:rPr>
      </w:pPr>
    </w:p>
    <w:p w14:paraId="6C0F12A7" w14:textId="77777777" w:rsidR="00A41C61" w:rsidRPr="00A41C61" w:rsidRDefault="00A41C61" w:rsidP="00A41C61">
      <w:pPr>
        <w:rPr>
          <w:rFonts w:ascii="Times New Roman" w:hAnsi="Times New Roman" w:cs="Times New Roman"/>
          <w:sz w:val="18"/>
          <w:szCs w:val="18"/>
        </w:rPr>
      </w:pPr>
    </w:p>
    <w:tbl>
      <w:tblPr>
        <w:tblW w:w="8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26"/>
        <w:gridCol w:w="2426"/>
        <w:gridCol w:w="1046"/>
        <w:gridCol w:w="1000"/>
        <w:gridCol w:w="1455"/>
      </w:tblGrid>
      <w:tr w:rsidR="00A41C61" w:rsidRPr="00A41C61" w14:paraId="7EE29C25" w14:textId="77777777" w:rsidTr="002761F1">
        <w:trPr>
          <w:cantSplit/>
        </w:trPr>
        <w:tc>
          <w:tcPr>
            <w:tcW w:w="8351" w:type="dxa"/>
            <w:gridSpan w:val="5"/>
            <w:tcBorders>
              <w:top w:val="nil"/>
              <w:left w:val="nil"/>
              <w:bottom w:val="nil"/>
              <w:right w:val="nil"/>
              <w:tl2br w:val="nil"/>
              <w:tr2bl w:val="nil"/>
            </w:tcBorders>
            <w:shd w:val="clear" w:color="auto" w:fill="FFFFFF"/>
          </w:tcPr>
          <w:p w14:paraId="194B7560" w14:textId="77777777" w:rsidR="00A41C61" w:rsidRPr="00A41C61" w:rsidRDefault="00A41C61" w:rsidP="002761F1">
            <w:pPr>
              <w:spacing w:line="320" w:lineRule="atLeast"/>
              <w:ind w:left="60" w:right="60"/>
              <w:jc w:val="center"/>
              <w:rPr>
                <w:rFonts w:ascii="Times New Roman" w:hAnsi="Times New Roman" w:cs="Times New Roman"/>
                <w:sz w:val="18"/>
                <w:szCs w:val="18"/>
              </w:rPr>
            </w:pPr>
            <w:r w:rsidRPr="00A41C61">
              <w:rPr>
                <w:rFonts w:ascii="Times New Roman" w:hAnsi="Times New Roman" w:cs="Times New Roman"/>
                <w:b/>
                <w:sz w:val="18"/>
                <w:szCs w:val="18"/>
              </w:rPr>
              <w:t>Chi-Square Tests</w:t>
            </w:r>
          </w:p>
        </w:tc>
      </w:tr>
      <w:tr w:rsidR="00A41C61" w:rsidRPr="00A41C61" w14:paraId="15A3457D" w14:textId="77777777" w:rsidTr="002761F1">
        <w:trPr>
          <w:cantSplit/>
        </w:trPr>
        <w:tc>
          <w:tcPr>
            <w:tcW w:w="4850" w:type="dxa"/>
            <w:gridSpan w:val="2"/>
            <w:tcBorders>
              <w:top w:val="single" w:sz="16" w:space="0" w:color="000000"/>
              <w:left w:val="single" w:sz="16" w:space="0" w:color="000000"/>
              <w:bottom w:val="single" w:sz="16" w:space="0" w:color="000000"/>
              <w:right w:val="nil"/>
              <w:tl2br w:val="nil"/>
              <w:tr2bl w:val="nil"/>
            </w:tcBorders>
            <w:shd w:val="clear" w:color="auto" w:fill="FFFFFF"/>
          </w:tcPr>
          <w:p w14:paraId="568D2117"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Level of education</w:t>
            </w:r>
          </w:p>
        </w:tc>
        <w:tc>
          <w:tcPr>
            <w:tcW w:w="1046" w:type="dxa"/>
            <w:tcBorders>
              <w:top w:val="single" w:sz="16" w:space="0" w:color="000000"/>
              <w:left w:val="single" w:sz="16" w:space="0" w:color="000000"/>
              <w:bottom w:val="single" w:sz="16" w:space="0" w:color="000000"/>
              <w:right w:val="single" w:sz="8" w:space="0" w:color="000000"/>
              <w:tl2br w:val="nil"/>
              <w:tr2bl w:val="nil"/>
            </w:tcBorders>
            <w:shd w:val="clear" w:color="auto" w:fill="FFFFFF"/>
          </w:tcPr>
          <w:p w14:paraId="7F3B4DB0" w14:textId="77777777" w:rsidR="00A41C61" w:rsidRPr="00A41C61" w:rsidRDefault="00A41C61" w:rsidP="002761F1">
            <w:pPr>
              <w:spacing w:line="320" w:lineRule="atLeast"/>
              <w:ind w:left="60" w:right="60"/>
              <w:jc w:val="center"/>
              <w:rPr>
                <w:rFonts w:ascii="Times New Roman" w:hAnsi="Times New Roman" w:cs="Times New Roman"/>
                <w:sz w:val="18"/>
                <w:szCs w:val="18"/>
              </w:rPr>
            </w:pPr>
            <w:r w:rsidRPr="00A41C61">
              <w:rPr>
                <w:rFonts w:ascii="Times New Roman" w:hAnsi="Times New Roman" w:cs="Times New Roman"/>
                <w:sz w:val="18"/>
                <w:szCs w:val="18"/>
              </w:rPr>
              <w:t>Value</w:t>
            </w:r>
          </w:p>
        </w:tc>
        <w:tc>
          <w:tcPr>
            <w:tcW w:w="1000" w:type="dxa"/>
            <w:tcBorders>
              <w:top w:val="single" w:sz="16" w:space="0" w:color="000000"/>
              <w:left w:val="single" w:sz="8" w:space="0" w:color="000000"/>
              <w:bottom w:val="single" w:sz="16" w:space="0" w:color="000000"/>
              <w:right w:val="single" w:sz="8" w:space="0" w:color="000000"/>
              <w:tl2br w:val="nil"/>
              <w:tr2bl w:val="nil"/>
            </w:tcBorders>
            <w:shd w:val="clear" w:color="auto" w:fill="FFFFFF"/>
          </w:tcPr>
          <w:p w14:paraId="21204D14" w14:textId="77777777" w:rsidR="00A41C61" w:rsidRPr="00A41C61" w:rsidRDefault="00A41C61" w:rsidP="002761F1">
            <w:pPr>
              <w:spacing w:line="320" w:lineRule="atLeast"/>
              <w:ind w:left="60" w:right="60"/>
              <w:jc w:val="center"/>
              <w:rPr>
                <w:rFonts w:ascii="Times New Roman" w:hAnsi="Times New Roman" w:cs="Times New Roman"/>
                <w:sz w:val="18"/>
                <w:szCs w:val="18"/>
              </w:rPr>
            </w:pPr>
            <w:proofErr w:type="spellStart"/>
            <w:r w:rsidRPr="00A41C61">
              <w:rPr>
                <w:rFonts w:ascii="Times New Roman" w:hAnsi="Times New Roman" w:cs="Times New Roman"/>
                <w:sz w:val="18"/>
                <w:szCs w:val="18"/>
              </w:rPr>
              <w:t>df</w:t>
            </w:r>
            <w:proofErr w:type="spellEnd"/>
          </w:p>
        </w:tc>
        <w:tc>
          <w:tcPr>
            <w:tcW w:w="1455" w:type="dxa"/>
            <w:tcBorders>
              <w:top w:val="single" w:sz="16" w:space="0" w:color="000000"/>
              <w:left w:val="single" w:sz="8" w:space="0" w:color="000000"/>
              <w:bottom w:val="single" w:sz="16" w:space="0" w:color="000000"/>
              <w:right w:val="single" w:sz="16" w:space="0" w:color="000000"/>
              <w:tl2br w:val="nil"/>
              <w:tr2bl w:val="nil"/>
            </w:tcBorders>
            <w:shd w:val="clear" w:color="auto" w:fill="FFFFFF"/>
          </w:tcPr>
          <w:p w14:paraId="6F39C0B8" w14:textId="77777777" w:rsidR="00A41C61" w:rsidRPr="00A41C61" w:rsidRDefault="00A41C61" w:rsidP="002761F1">
            <w:pPr>
              <w:spacing w:line="320" w:lineRule="atLeast"/>
              <w:ind w:left="60" w:right="60"/>
              <w:jc w:val="center"/>
              <w:rPr>
                <w:rFonts w:ascii="Times New Roman" w:hAnsi="Times New Roman" w:cs="Times New Roman"/>
                <w:sz w:val="18"/>
                <w:szCs w:val="18"/>
              </w:rPr>
            </w:pPr>
            <w:proofErr w:type="spellStart"/>
            <w:r w:rsidRPr="00A41C61">
              <w:rPr>
                <w:rFonts w:ascii="Times New Roman" w:hAnsi="Times New Roman" w:cs="Times New Roman"/>
                <w:sz w:val="18"/>
                <w:szCs w:val="18"/>
              </w:rPr>
              <w:t>Asymp</w:t>
            </w:r>
            <w:proofErr w:type="spellEnd"/>
            <w:r w:rsidRPr="00A41C61">
              <w:rPr>
                <w:rFonts w:ascii="Times New Roman" w:hAnsi="Times New Roman" w:cs="Times New Roman"/>
                <w:sz w:val="18"/>
                <w:szCs w:val="18"/>
              </w:rPr>
              <w:t>. Sig. (2-sided)</w:t>
            </w:r>
          </w:p>
        </w:tc>
      </w:tr>
      <w:tr w:rsidR="00A41C61" w:rsidRPr="00A41C61" w14:paraId="3C9C8E46" w14:textId="77777777" w:rsidTr="002761F1">
        <w:trPr>
          <w:cantSplit/>
        </w:trPr>
        <w:tc>
          <w:tcPr>
            <w:tcW w:w="2425" w:type="dxa"/>
            <w:vMerge w:val="restart"/>
            <w:tcBorders>
              <w:top w:val="single" w:sz="16" w:space="0" w:color="000000"/>
              <w:left w:val="single" w:sz="16" w:space="0" w:color="000000"/>
              <w:bottom w:val="nil"/>
              <w:right w:val="nil"/>
              <w:tl2br w:val="nil"/>
              <w:tr2bl w:val="nil"/>
            </w:tcBorders>
            <w:shd w:val="clear" w:color="auto" w:fill="FFFFFF"/>
            <w:vAlign w:val="center"/>
          </w:tcPr>
          <w:p w14:paraId="33AD7C97"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Did not complete high school</w:t>
            </w:r>
          </w:p>
        </w:tc>
        <w:tc>
          <w:tcPr>
            <w:tcW w:w="2425" w:type="dxa"/>
            <w:tcBorders>
              <w:top w:val="single" w:sz="16" w:space="0" w:color="000000"/>
              <w:left w:val="nil"/>
              <w:bottom w:val="nil"/>
              <w:right w:val="single" w:sz="16" w:space="0" w:color="000000"/>
              <w:tl2br w:val="nil"/>
              <w:tr2bl w:val="nil"/>
            </w:tcBorders>
            <w:shd w:val="clear" w:color="auto" w:fill="FFFFFF"/>
            <w:vAlign w:val="center"/>
          </w:tcPr>
          <w:p w14:paraId="21917ED4"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Pearson Chi-Square</w:t>
            </w:r>
          </w:p>
        </w:tc>
        <w:tc>
          <w:tcPr>
            <w:tcW w:w="1046" w:type="dxa"/>
            <w:tcBorders>
              <w:top w:val="single" w:sz="16" w:space="0" w:color="000000"/>
              <w:left w:val="single" w:sz="16" w:space="0" w:color="000000"/>
              <w:bottom w:val="nil"/>
              <w:right w:val="single" w:sz="8" w:space="0" w:color="000000"/>
              <w:tl2br w:val="nil"/>
              <w:tr2bl w:val="nil"/>
            </w:tcBorders>
            <w:shd w:val="clear" w:color="auto" w:fill="FFFFFF"/>
            <w:vAlign w:val="center"/>
          </w:tcPr>
          <w:p w14:paraId="65BB59EA"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110.526</w:t>
            </w:r>
            <w:r w:rsidRPr="00A41C61">
              <w:rPr>
                <w:rFonts w:ascii="Times New Roman" w:hAnsi="Times New Roman" w:cs="Times New Roman"/>
                <w:sz w:val="18"/>
                <w:szCs w:val="18"/>
                <w:vertAlign w:val="superscript"/>
              </w:rPr>
              <w:t>b</w:t>
            </w:r>
          </w:p>
        </w:tc>
        <w:tc>
          <w:tcPr>
            <w:tcW w:w="1000" w:type="dxa"/>
            <w:tcBorders>
              <w:top w:val="single" w:sz="16" w:space="0" w:color="000000"/>
              <w:left w:val="single" w:sz="8" w:space="0" w:color="000000"/>
              <w:bottom w:val="nil"/>
              <w:right w:val="single" w:sz="8" w:space="0" w:color="000000"/>
              <w:tl2br w:val="nil"/>
              <w:tr2bl w:val="nil"/>
            </w:tcBorders>
            <w:shd w:val="clear" w:color="auto" w:fill="FFFFFF"/>
            <w:vAlign w:val="center"/>
          </w:tcPr>
          <w:p w14:paraId="5F754A1C"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single" w:sz="16" w:space="0" w:color="000000"/>
              <w:left w:val="single" w:sz="8" w:space="0" w:color="000000"/>
              <w:bottom w:val="nil"/>
              <w:right w:val="single" w:sz="16" w:space="0" w:color="000000"/>
              <w:tl2br w:val="nil"/>
              <w:tr2bl w:val="nil"/>
            </w:tcBorders>
            <w:shd w:val="clear" w:color="auto" w:fill="FFFFFF"/>
            <w:vAlign w:val="center"/>
          </w:tcPr>
          <w:p w14:paraId="31A907CA"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67CEFE33" w14:textId="77777777" w:rsidTr="002761F1">
        <w:trPr>
          <w:cantSplit/>
        </w:trPr>
        <w:tc>
          <w:tcPr>
            <w:tcW w:w="2425" w:type="dxa"/>
            <w:vMerge/>
            <w:tcBorders>
              <w:top w:val="single" w:sz="16" w:space="0" w:color="000000"/>
              <w:left w:val="single" w:sz="16" w:space="0" w:color="000000"/>
              <w:bottom w:val="nil"/>
              <w:right w:val="nil"/>
              <w:tl2br w:val="nil"/>
              <w:tr2bl w:val="nil"/>
            </w:tcBorders>
            <w:shd w:val="clear" w:color="auto" w:fill="FFFFFF"/>
            <w:vAlign w:val="center"/>
          </w:tcPr>
          <w:p w14:paraId="5D0AEE9E"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0770FF6A"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Likelihood Ratio</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15033B16"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102.962</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37FE6999"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3625EBAC"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1265250A" w14:textId="77777777" w:rsidTr="002761F1">
        <w:trPr>
          <w:cantSplit/>
        </w:trPr>
        <w:tc>
          <w:tcPr>
            <w:tcW w:w="2425" w:type="dxa"/>
            <w:vMerge/>
            <w:tcBorders>
              <w:top w:val="single" w:sz="16" w:space="0" w:color="000000"/>
              <w:left w:val="single" w:sz="16" w:space="0" w:color="000000"/>
              <w:bottom w:val="nil"/>
              <w:right w:val="nil"/>
              <w:tl2br w:val="nil"/>
              <w:tr2bl w:val="nil"/>
            </w:tcBorders>
            <w:shd w:val="clear" w:color="auto" w:fill="FFFFFF"/>
            <w:vAlign w:val="center"/>
          </w:tcPr>
          <w:p w14:paraId="0AFAC6C5"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51A817AE"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Linear-by-Linear Association</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38A15D2E"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72.021</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218087ED"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5AEB5D3F"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1F147917" w14:textId="77777777" w:rsidTr="002761F1">
        <w:trPr>
          <w:cantSplit/>
        </w:trPr>
        <w:tc>
          <w:tcPr>
            <w:tcW w:w="2425" w:type="dxa"/>
            <w:vMerge/>
            <w:tcBorders>
              <w:top w:val="single" w:sz="16" w:space="0" w:color="000000"/>
              <w:left w:val="single" w:sz="16" w:space="0" w:color="000000"/>
              <w:bottom w:val="nil"/>
              <w:right w:val="nil"/>
              <w:tl2br w:val="nil"/>
              <w:tr2bl w:val="nil"/>
            </w:tcBorders>
            <w:shd w:val="clear" w:color="auto" w:fill="FFFFFF"/>
            <w:vAlign w:val="center"/>
          </w:tcPr>
          <w:p w14:paraId="4D4A9A5E"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4210E8A8"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N of Valid Cases</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1DBA4D13"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1390</w:t>
            </w:r>
          </w:p>
        </w:tc>
        <w:tc>
          <w:tcPr>
            <w:tcW w:w="1000" w:type="dxa"/>
            <w:tcBorders>
              <w:top w:val="nil"/>
              <w:left w:val="single" w:sz="8" w:space="0" w:color="000000"/>
              <w:bottom w:val="nil"/>
              <w:right w:val="single" w:sz="8" w:space="0" w:color="000000"/>
              <w:tl2br w:val="nil"/>
              <w:tr2bl w:val="nil"/>
            </w:tcBorders>
            <w:shd w:val="clear" w:color="auto" w:fill="FFFFFF"/>
          </w:tcPr>
          <w:p w14:paraId="0F2B95CA" w14:textId="77777777" w:rsidR="00A41C61" w:rsidRPr="00A41C61" w:rsidRDefault="00A41C61" w:rsidP="002761F1">
            <w:pPr>
              <w:rPr>
                <w:rFonts w:ascii="Times New Roman" w:hAnsi="Times New Roman" w:cs="Times New Roman"/>
                <w:sz w:val="18"/>
                <w:szCs w:val="18"/>
              </w:rPr>
            </w:pPr>
          </w:p>
        </w:tc>
        <w:tc>
          <w:tcPr>
            <w:tcW w:w="1455" w:type="dxa"/>
            <w:tcBorders>
              <w:top w:val="nil"/>
              <w:left w:val="single" w:sz="8" w:space="0" w:color="000000"/>
              <w:bottom w:val="nil"/>
              <w:right w:val="single" w:sz="16" w:space="0" w:color="000000"/>
              <w:tl2br w:val="nil"/>
              <w:tr2bl w:val="nil"/>
            </w:tcBorders>
            <w:shd w:val="clear" w:color="auto" w:fill="FFFFFF"/>
          </w:tcPr>
          <w:p w14:paraId="161E2F97" w14:textId="77777777" w:rsidR="00A41C61" w:rsidRPr="00A41C61" w:rsidRDefault="00A41C61" w:rsidP="002761F1">
            <w:pPr>
              <w:rPr>
                <w:rFonts w:ascii="Times New Roman" w:hAnsi="Times New Roman" w:cs="Times New Roman"/>
                <w:sz w:val="18"/>
                <w:szCs w:val="18"/>
              </w:rPr>
            </w:pPr>
          </w:p>
        </w:tc>
      </w:tr>
      <w:tr w:rsidR="00A41C61" w:rsidRPr="00A41C61" w14:paraId="2CBDB48F" w14:textId="77777777" w:rsidTr="002761F1">
        <w:trPr>
          <w:cantSplit/>
        </w:trPr>
        <w:tc>
          <w:tcPr>
            <w:tcW w:w="2425" w:type="dxa"/>
            <w:vMerge w:val="restart"/>
            <w:tcBorders>
              <w:top w:val="nil"/>
              <w:left w:val="single" w:sz="16" w:space="0" w:color="000000"/>
              <w:bottom w:val="nil"/>
              <w:right w:val="nil"/>
              <w:tl2br w:val="nil"/>
              <w:tr2bl w:val="nil"/>
            </w:tcBorders>
            <w:shd w:val="clear" w:color="auto" w:fill="FFFFFF"/>
            <w:vAlign w:val="center"/>
          </w:tcPr>
          <w:p w14:paraId="6F763AE6"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High school degree</w:t>
            </w:r>
          </w:p>
        </w:tc>
        <w:tc>
          <w:tcPr>
            <w:tcW w:w="2425" w:type="dxa"/>
            <w:tcBorders>
              <w:top w:val="nil"/>
              <w:left w:val="nil"/>
              <w:bottom w:val="nil"/>
              <w:right w:val="single" w:sz="16" w:space="0" w:color="000000"/>
              <w:tl2br w:val="nil"/>
              <w:tr2bl w:val="nil"/>
            </w:tcBorders>
            <w:shd w:val="clear" w:color="auto" w:fill="FFFFFF"/>
            <w:vAlign w:val="center"/>
          </w:tcPr>
          <w:p w14:paraId="25BE77B4"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Pearson Chi-Square</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1702E878"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117.315</w:t>
            </w:r>
            <w:r w:rsidRPr="00A41C61">
              <w:rPr>
                <w:rFonts w:ascii="Times New Roman" w:hAnsi="Times New Roman" w:cs="Times New Roman"/>
                <w:sz w:val="18"/>
                <w:szCs w:val="18"/>
                <w:vertAlign w:val="superscript"/>
              </w:rPr>
              <w:t>c</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659D0049"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5320CF4E"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0E1DBFF5"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04C4A7E5"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0769BCC9"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Likelihood Ratio</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7E7C0E28"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114.069</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78381C00"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1B97156D"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0A724135"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2659C6D0"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5D2CE4DD"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Linear-by-Linear Association</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1E54E12E"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88.002</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394F74F5"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3846AD47"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305C71E4"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5C3C3B82"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0DC3DF58"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N of Valid Cases</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2E5BE2C6"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1936</w:t>
            </w:r>
          </w:p>
        </w:tc>
        <w:tc>
          <w:tcPr>
            <w:tcW w:w="1000" w:type="dxa"/>
            <w:tcBorders>
              <w:top w:val="nil"/>
              <w:left w:val="single" w:sz="8" w:space="0" w:color="000000"/>
              <w:bottom w:val="nil"/>
              <w:right w:val="single" w:sz="8" w:space="0" w:color="000000"/>
              <w:tl2br w:val="nil"/>
              <w:tr2bl w:val="nil"/>
            </w:tcBorders>
            <w:shd w:val="clear" w:color="auto" w:fill="FFFFFF"/>
          </w:tcPr>
          <w:p w14:paraId="16179B6D" w14:textId="77777777" w:rsidR="00A41C61" w:rsidRPr="00A41C61" w:rsidRDefault="00A41C61" w:rsidP="002761F1">
            <w:pPr>
              <w:rPr>
                <w:rFonts w:ascii="Times New Roman" w:hAnsi="Times New Roman" w:cs="Times New Roman"/>
                <w:sz w:val="18"/>
                <w:szCs w:val="18"/>
              </w:rPr>
            </w:pPr>
          </w:p>
        </w:tc>
        <w:tc>
          <w:tcPr>
            <w:tcW w:w="1455" w:type="dxa"/>
            <w:tcBorders>
              <w:top w:val="nil"/>
              <w:left w:val="single" w:sz="8" w:space="0" w:color="000000"/>
              <w:bottom w:val="nil"/>
              <w:right w:val="single" w:sz="16" w:space="0" w:color="000000"/>
              <w:tl2br w:val="nil"/>
              <w:tr2bl w:val="nil"/>
            </w:tcBorders>
            <w:shd w:val="clear" w:color="auto" w:fill="FFFFFF"/>
          </w:tcPr>
          <w:p w14:paraId="22B261BE" w14:textId="77777777" w:rsidR="00A41C61" w:rsidRPr="00A41C61" w:rsidRDefault="00A41C61" w:rsidP="002761F1">
            <w:pPr>
              <w:rPr>
                <w:rFonts w:ascii="Times New Roman" w:hAnsi="Times New Roman" w:cs="Times New Roman"/>
                <w:sz w:val="18"/>
                <w:szCs w:val="18"/>
              </w:rPr>
            </w:pPr>
          </w:p>
        </w:tc>
      </w:tr>
      <w:tr w:rsidR="00A41C61" w:rsidRPr="00A41C61" w14:paraId="2325670C" w14:textId="77777777" w:rsidTr="002761F1">
        <w:trPr>
          <w:cantSplit/>
        </w:trPr>
        <w:tc>
          <w:tcPr>
            <w:tcW w:w="2425" w:type="dxa"/>
            <w:vMerge w:val="restart"/>
            <w:tcBorders>
              <w:top w:val="nil"/>
              <w:left w:val="single" w:sz="16" w:space="0" w:color="000000"/>
              <w:bottom w:val="nil"/>
              <w:right w:val="nil"/>
              <w:tl2br w:val="nil"/>
              <w:tr2bl w:val="nil"/>
            </w:tcBorders>
            <w:shd w:val="clear" w:color="auto" w:fill="FFFFFF"/>
            <w:vAlign w:val="center"/>
          </w:tcPr>
          <w:p w14:paraId="658A16AF"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Some college</w:t>
            </w:r>
          </w:p>
        </w:tc>
        <w:tc>
          <w:tcPr>
            <w:tcW w:w="2425" w:type="dxa"/>
            <w:tcBorders>
              <w:top w:val="nil"/>
              <w:left w:val="nil"/>
              <w:bottom w:val="nil"/>
              <w:right w:val="single" w:sz="16" w:space="0" w:color="000000"/>
              <w:tl2br w:val="nil"/>
              <w:tr2bl w:val="nil"/>
            </w:tcBorders>
            <w:shd w:val="clear" w:color="auto" w:fill="FFFFFF"/>
            <w:vAlign w:val="center"/>
          </w:tcPr>
          <w:p w14:paraId="7D953620"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Pearson Chi-Square</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604A61CF"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143.961</w:t>
            </w:r>
            <w:r w:rsidRPr="00A41C61">
              <w:rPr>
                <w:rFonts w:ascii="Times New Roman" w:hAnsi="Times New Roman" w:cs="Times New Roman"/>
                <w:sz w:val="18"/>
                <w:szCs w:val="18"/>
                <w:vertAlign w:val="superscript"/>
              </w:rPr>
              <w:t>d</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20972987"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6220E606"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06D3D188"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6CEEFC4A"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2751A748"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Likelihood Ratio</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028B4D80"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123.569</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3528E0E5"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7C489046"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235D0815"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071A0AE1"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0D1FFD42"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Linear-by-Linear Association</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1F438433"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91.202</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7C336D58"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5BF6BA7C"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32579D3E"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430BC9B9"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36468B9C"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N of Valid Cases</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4B66AB80"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1360</w:t>
            </w:r>
          </w:p>
        </w:tc>
        <w:tc>
          <w:tcPr>
            <w:tcW w:w="1000" w:type="dxa"/>
            <w:tcBorders>
              <w:top w:val="nil"/>
              <w:left w:val="single" w:sz="8" w:space="0" w:color="000000"/>
              <w:bottom w:val="nil"/>
              <w:right w:val="single" w:sz="8" w:space="0" w:color="000000"/>
              <w:tl2br w:val="nil"/>
              <w:tr2bl w:val="nil"/>
            </w:tcBorders>
            <w:shd w:val="clear" w:color="auto" w:fill="FFFFFF"/>
          </w:tcPr>
          <w:p w14:paraId="3CCE2072" w14:textId="77777777" w:rsidR="00A41C61" w:rsidRPr="00A41C61" w:rsidRDefault="00A41C61" w:rsidP="002761F1">
            <w:pPr>
              <w:rPr>
                <w:rFonts w:ascii="Times New Roman" w:hAnsi="Times New Roman" w:cs="Times New Roman"/>
                <w:sz w:val="18"/>
                <w:szCs w:val="18"/>
              </w:rPr>
            </w:pPr>
          </w:p>
        </w:tc>
        <w:tc>
          <w:tcPr>
            <w:tcW w:w="1455" w:type="dxa"/>
            <w:tcBorders>
              <w:top w:val="nil"/>
              <w:left w:val="single" w:sz="8" w:space="0" w:color="000000"/>
              <w:bottom w:val="nil"/>
              <w:right w:val="single" w:sz="16" w:space="0" w:color="000000"/>
              <w:tl2br w:val="nil"/>
              <w:tr2bl w:val="nil"/>
            </w:tcBorders>
            <w:shd w:val="clear" w:color="auto" w:fill="FFFFFF"/>
          </w:tcPr>
          <w:p w14:paraId="4ABF922D" w14:textId="77777777" w:rsidR="00A41C61" w:rsidRPr="00A41C61" w:rsidRDefault="00A41C61" w:rsidP="002761F1">
            <w:pPr>
              <w:rPr>
                <w:rFonts w:ascii="Times New Roman" w:hAnsi="Times New Roman" w:cs="Times New Roman"/>
                <w:sz w:val="18"/>
                <w:szCs w:val="18"/>
              </w:rPr>
            </w:pPr>
          </w:p>
        </w:tc>
      </w:tr>
      <w:tr w:rsidR="00A41C61" w:rsidRPr="00A41C61" w14:paraId="11BF54BE" w14:textId="77777777" w:rsidTr="002761F1">
        <w:trPr>
          <w:cantSplit/>
        </w:trPr>
        <w:tc>
          <w:tcPr>
            <w:tcW w:w="2425" w:type="dxa"/>
            <w:vMerge w:val="restart"/>
            <w:tcBorders>
              <w:top w:val="nil"/>
              <w:left w:val="single" w:sz="16" w:space="0" w:color="000000"/>
              <w:bottom w:val="nil"/>
              <w:right w:val="nil"/>
              <w:tl2br w:val="nil"/>
              <w:tr2bl w:val="nil"/>
            </w:tcBorders>
            <w:shd w:val="clear" w:color="auto" w:fill="FFFFFF"/>
            <w:vAlign w:val="center"/>
          </w:tcPr>
          <w:p w14:paraId="663825A5"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College degree</w:t>
            </w:r>
          </w:p>
        </w:tc>
        <w:tc>
          <w:tcPr>
            <w:tcW w:w="2425" w:type="dxa"/>
            <w:tcBorders>
              <w:top w:val="nil"/>
              <w:left w:val="nil"/>
              <w:bottom w:val="nil"/>
              <w:right w:val="single" w:sz="16" w:space="0" w:color="000000"/>
              <w:tl2br w:val="nil"/>
              <w:tr2bl w:val="nil"/>
            </w:tcBorders>
            <w:shd w:val="clear" w:color="auto" w:fill="FFFFFF"/>
            <w:vAlign w:val="center"/>
          </w:tcPr>
          <w:p w14:paraId="130907C8"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Pearson Chi-Square</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5C7C3927"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116.688</w:t>
            </w:r>
            <w:r w:rsidRPr="00A41C61">
              <w:rPr>
                <w:rFonts w:ascii="Times New Roman" w:hAnsi="Times New Roman" w:cs="Times New Roman"/>
                <w:sz w:val="18"/>
                <w:szCs w:val="18"/>
                <w:vertAlign w:val="superscript"/>
              </w:rPr>
              <w:t>e</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24A98189"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15DB1B9F"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1B38BB36"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7422B66A"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72BD05F4"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Likelihood Ratio</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589A4ECF"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93.259</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32CE4E11"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2F95A71C"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4E286030"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6A72B884"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4E1D9F1B"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Linear-by-Linear Association</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616DB203"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74.647</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485309D0"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34AC398B"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140D655D"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7DFEF158"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387DA9FD"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N of Valid Cases</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47EF33D7"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1355</w:t>
            </w:r>
          </w:p>
        </w:tc>
        <w:tc>
          <w:tcPr>
            <w:tcW w:w="1000" w:type="dxa"/>
            <w:tcBorders>
              <w:top w:val="nil"/>
              <w:left w:val="single" w:sz="8" w:space="0" w:color="000000"/>
              <w:bottom w:val="nil"/>
              <w:right w:val="single" w:sz="8" w:space="0" w:color="000000"/>
              <w:tl2br w:val="nil"/>
              <w:tr2bl w:val="nil"/>
            </w:tcBorders>
            <w:shd w:val="clear" w:color="auto" w:fill="FFFFFF"/>
          </w:tcPr>
          <w:p w14:paraId="3EA48C48" w14:textId="77777777" w:rsidR="00A41C61" w:rsidRPr="00A41C61" w:rsidRDefault="00A41C61" w:rsidP="002761F1">
            <w:pPr>
              <w:rPr>
                <w:rFonts w:ascii="Times New Roman" w:hAnsi="Times New Roman" w:cs="Times New Roman"/>
                <w:sz w:val="18"/>
                <w:szCs w:val="18"/>
              </w:rPr>
            </w:pPr>
          </w:p>
        </w:tc>
        <w:tc>
          <w:tcPr>
            <w:tcW w:w="1455" w:type="dxa"/>
            <w:tcBorders>
              <w:top w:val="nil"/>
              <w:left w:val="single" w:sz="8" w:space="0" w:color="000000"/>
              <w:bottom w:val="nil"/>
              <w:right w:val="single" w:sz="16" w:space="0" w:color="000000"/>
              <w:tl2br w:val="nil"/>
              <w:tr2bl w:val="nil"/>
            </w:tcBorders>
            <w:shd w:val="clear" w:color="auto" w:fill="FFFFFF"/>
          </w:tcPr>
          <w:p w14:paraId="49A68371" w14:textId="77777777" w:rsidR="00A41C61" w:rsidRPr="00A41C61" w:rsidRDefault="00A41C61" w:rsidP="002761F1">
            <w:pPr>
              <w:rPr>
                <w:rFonts w:ascii="Times New Roman" w:hAnsi="Times New Roman" w:cs="Times New Roman"/>
                <w:sz w:val="18"/>
                <w:szCs w:val="18"/>
              </w:rPr>
            </w:pPr>
          </w:p>
        </w:tc>
      </w:tr>
      <w:tr w:rsidR="00A41C61" w:rsidRPr="00A41C61" w14:paraId="196970CA" w14:textId="77777777" w:rsidTr="002761F1">
        <w:trPr>
          <w:cantSplit/>
        </w:trPr>
        <w:tc>
          <w:tcPr>
            <w:tcW w:w="2425" w:type="dxa"/>
            <w:vMerge w:val="restart"/>
            <w:tcBorders>
              <w:top w:val="nil"/>
              <w:left w:val="single" w:sz="16" w:space="0" w:color="000000"/>
              <w:bottom w:val="nil"/>
              <w:right w:val="nil"/>
              <w:tl2br w:val="nil"/>
              <w:tr2bl w:val="nil"/>
            </w:tcBorders>
            <w:shd w:val="clear" w:color="auto" w:fill="FFFFFF"/>
            <w:vAlign w:val="center"/>
          </w:tcPr>
          <w:p w14:paraId="60F6560F"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Post-undergraduate degree</w:t>
            </w:r>
          </w:p>
        </w:tc>
        <w:tc>
          <w:tcPr>
            <w:tcW w:w="2425" w:type="dxa"/>
            <w:tcBorders>
              <w:top w:val="nil"/>
              <w:left w:val="nil"/>
              <w:bottom w:val="nil"/>
              <w:right w:val="single" w:sz="16" w:space="0" w:color="000000"/>
              <w:tl2br w:val="nil"/>
              <w:tr2bl w:val="nil"/>
            </w:tcBorders>
            <w:shd w:val="clear" w:color="auto" w:fill="FFFFFF"/>
            <w:vAlign w:val="center"/>
          </w:tcPr>
          <w:p w14:paraId="65505CE8"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Pearson Chi-Square</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570919DB"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13.554</w:t>
            </w:r>
            <w:r w:rsidRPr="00A41C61">
              <w:rPr>
                <w:rFonts w:ascii="Times New Roman" w:hAnsi="Times New Roman" w:cs="Times New Roman"/>
                <w:sz w:val="18"/>
                <w:szCs w:val="18"/>
                <w:vertAlign w:val="superscript"/>
              </w:rPr>
              <w:t>f</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1331BDC7"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764A3F40"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.004</w:t>
            </w:r>
          </w:p>
        </w:tc>
      </w:tr>
      <w:tr w:rsidR="00A41C61" w:rsidRPr="00A41C61" w14:paraId="7AD28FDD"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7D18B6A4"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3823B9CC"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Likelihood Ratio</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4D9BA9A4"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13.485</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67C7CCF2"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770E4DFB"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.004</w:t>
            </w:r>
          </w:p>
        </w:tc>
      </w:tr>
      <w:tr w:rsidR="00A41C61" w:rsidRPr="00A41C61" w14:paraId="7FE3020B"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7AE610E3"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6722BB31"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Linear-by-Linear Association</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3A7421D7"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10.784</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1443032F"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69DDDFE3"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.001</w:t>
            </w:r>
          </w:p>
        </w:tc>
      </w:tr>
      <w:tr w:rsidR="00A41C61" w:rsidRPr="00A41C61" w14:paraId="569D43BA" w14:textId="77777777" w:rsidTr="002761F1">
        <w:trPr>
          <w:cantSplit/>
        </w:trPr>
        <w:tc>
          <w:tcPr>
            <w:tcW w:w="2425" w:type="dxa"/>
            <w:vMerge/>
            <w:tcBorders>
              <w:top w:val="nil"/>
              <w:left w:val="single" w:sz="16" w:space="0" w:color="000000"/>
              <w:bottom w:val="nil"/>
              <w:right w:val="nil"/>
              <w:tl2br w:val="nil"/>
              <w:tr2bl w:val="nil"/>
            </w:tcBorders>
            <w:shd w:val="clear" w:color="auto" w:fill="FFFFFF"/>
            <w:vAlign w:val="center"/>
          </w:tcPr>
          <w:p w14:paraId="42D2667E"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1CB2CB6A"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N of Valid Cases</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12325A9B"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359</w:t>
            </w:r>
          </w:p>
        </w:tc>
        <w:tc>
          <w:tcPr>
            <w:tcW w:w="1000" w:type="dxa"/>
            <w:tcBorders>
              <w:top w:val="nil"/>
              <w:left w:val="single" w:sz="8" w:space="0" w:color="000000"/>
              <w:bottom w:val="nil"/>
              <w:right w:val="single" w:sz="8" w:space="0" w:color="000000"/>
              <w:tl2br w:val="nil"/>
              <w:tr2bl w:val="nil"/>
            </w:tcBorders>
            <w:shd w:val="clear" w:color="auto" w:fill="FFFFFF"/>
          </w:tcPr>
          <w:p w14:paraId="30CAAF85" w14:textId="77777777" w:rsidR="00A41C61" w:rsidRPr="00A41C61" w:rsidRDefault="00A41C61" w:rsidP="002761F1">
            <w:pPr>
              <w:rPr>
                <w:rFonts w:ascii="Times New Roman" w:hAnsi="Times New Roman" w:cs="Times New Roman"/>
                <w:sz w:val="18"/>
                <w:szCs w:val="18"/>
              </w:rPr>
            </w:pPr>
          </w:p>
        </w:tc>
        <w:tc>
          <w:tcPr>
            <w:tcW w:w="1455" w:type="dxa"/>
            <w:tcBorders>
              <w:top w:val="nil"/>
              <w:left w:val="single" w:sz="8" w:space="0" w:color="000000"/>
              <w:bottom w:val="nil"/>
              <w:right w:val="single" w:sz="16" w:space="0" w:color="000000"/>
              <w:tl2br w:val="nil"/>
              <w:tr2bl w:val="nil"/>
            </w:tcBorders>
            <w:shd w:val="clear" w:color="auto" w:fill="FFFFFF"/>
          </w:tcPr>
          <w:p w14:paraId="6ABC5888" w14:textId="77777777" w:rsidR="00A41C61" w:rsidRPr="00A41C61" w:rsidRDefault="00A41C61" w:rsidP="002761F1">
            <w:pPr>
              <w:rPr>
                <w:rFonts w:ascii="Times New Roman" w:hAnsi="Times New Roman" w:cs="Times New Roman"/>
                <w:sz w:val="18"/>
                <w:szCs w:val="18"/>
              </w:rPr>
            </w:pPr>
          </w:p>
        </w:tc>
      </w:tr>
      <w:tr w:rsidR="00A41C61" w:rsidRPr="00A41C61" w14:paraId="74605B60" w14:textId="77777777" w:rsidTr="002761F1">
        <w:trPr>
          <w:cantSplit/>
        </w:trPr>
        <w:tc>
          <w:tcPr>
            <w:tcW w:w="2425" w:type="dxa"/>
            <w:vMerge w:val="restart"/>
            <w:tcBorders>
              <w:top w:val="nil"/>
              <w:left w:val="single" w:sz="16" w:space="0" w:color="000000"/>
              <w:bottom w:val="single" w:sz="16" w:space="0" w:color="000000"/>
              <w:right w:val="nil"/>
              <w:tl2br w:val="nil"/>
              <w:tr2bl w:val="nil"/>
            </w:tcBorders>
            <w:shd w:val="clear" w:color="auto" w:fill="FFFFFF"/>
            <w:vAlign w:val="center"/>
          </w:tcPr>
          <w:p w14:paraId="6A3C2D1B"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Total</w:t>
            </w:r>
          </w:p>
        </w:tc>
        <w:tc>
          <w:tcPr>
            <w:tcW w:w="2425" w:type="dxa"/>
            <w:tcBorders>
              <w:top w:val="nil"/>
              <w:left w:val="nil"/>
              <w:bottom w:val="nil"/>
              <w:right w:val="single" w:sz="16" w:space="0" w:color="000000"/>
              <w:tl2br w:val="nil"/>
              <w:tr2bl w:val="nil"/>
            </w:tcBorders>
            <w:shd w:val="clear" w:color="auto" w:fill="FFFFFF"/>
            <w:vAlign w:val="center"/>
          </w:tcPr>
          <w:p w14:paraId="219B4C49"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Pearson Chi-Square</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5DCA6070"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493.651</w:t>
            </w:r>
            <w:r w:rsidRPr="00A41C61">
              <w:rPr>
                <w:rFonts w:ascii="Times New Roman" w:hAnsi="Times New Roman" w:cs="Times New Roman"/>
                <w:sz w:val="18"/>
                <w:szCs w:val="18"/>
                <w:vertAlign w:val="superscript"/>
              </w:rPr>
              <w:t>a</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37E29350"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0A3A29C0"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1965A9D3" w14:textId="77777777" w:rsidTr="002761F1">
        <w:trPr>
          <w:cantSplit/>
        </w:trPr>
        <w:tc>
          <w:tcPr>
            <w:tcW w:w="2425" w:type="dxa"/>
            <w:vMerge/>
            <w:tcBorders>
              <w:top w:val="nil"/>
              <w:left w:val="single" w:sz="16" w:space="0" w:color="000000"/>
              <w:bottom w:val="single" w:sz="16" w:space="0" w:color="000000"/>
              <w:right w:val="nil"/>
              <w:tl2br w:val="nil"/>
              <w:tr2bl w:val="nil"/>
            </w:tcBorders>
            <w:shd w:val="clear" w:color="auto" w:fill="FFFFFF"/>
            <w:vAlign w:val="center"/>
          </w:tcPr>
          <w:p w14:paraId="2F9E6DA8"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6BE1A291"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Likelihood Ratio</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4A267B07"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434.754</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414A9A2D"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660999FF"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53952A52" w14:textId="77777777" w:rsidTr="002761F1">
        <w:trPr>
          <w:cantSplit/>
        </w:trPr>
        <w:tc>
          <w:tcPr>
            <w:tcW w:w="2425" w:type="dxa"/>
            <w:vMerge/>
            <w:tcBorders>
              <w:top w:val="nil"/>
              <w:left w:val="single" w:sz="16" w:space="0" w:color="000000"/>
              <w:bottom w:val="single" w:sz="16" w:space="0" w:color="000000"/>
              <w:right w:val="nil"/>
              <w:tl2br w:val="nil"/>
              <w:tr2bl w:val="nil"/>
            </w:tcBorders>
            <w:shd w:val="clear" w:color="auto" w:fill="FFFFFF"/>
            <w:vAlign w:val="center"/>
          </w:tcPr>
          <w:p w14:paraId="6C30C37D"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nil"/>
              <w:right w:val="single" w:sz="16" w:space="0" w:color="000000"/>
              <w:tl2br w:val="nil"/>
              <w:tr2bl w:val="nil"/>
            </w:tcBorders>
            <w:shd w:val="clear" w:color="auto" w:fill="FFFFFF"/>
            <w:vAlign w:val="center"/>
          </w:tcPr>
          <w:p w14:paraId="25C88953"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Linear-by-Linear Association</w:t>
            </w:r>
          </w:p>
        </w:tc>
        <w:tc>
          <w:tcPr>
            <w:tcW w:w="1046" w:type="dxa"/>
            <w:tcBorders>
              <w:top w:val="nil"/>
              <w:left w:val="single" w:sz="16" w:space="0" w:color="000000"/>
              <w:bottom w:val="nil"/>
              <w:right w:val="single" w:sz="8" w:space="0" w:color="000000"/>
              <w:tl2br w:val="nil"/>
              <w:tr2bl w:val="nil"/>
            </w:tcBorders>
            <w:shd w:val="clear" w:color="auto" w:fill="FFFFFF"/>
            <w:vAlign w:val="center"/>
          </w:tcPr>
          <w:p w14:paraId="1948F2D2"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335.462</w:t>
            </w:r>
          </w:p>
        </w:tc>
        <w:tc>
          <w:tcPr>
            <w:tcW w:w="1000" w:type="dxa"/>
            <w:tcBorders>
              <w:top w:val="nil"/>
              <w:left w:val="single" w:sz="8" w:space="0" w:color="000000"/>
              <w:bottom w:val="nil"/>
              <w:right w:val="single" w:sz="8" w:space="0" w:color="000000"/>
              <w:tl2br w:val="nil"/>
              <w:tr2bl w:val="nil"/>
            </w:tcBorders>
            <w:shd w:val="clear" w:color="auto" w:fill="FFFFFF"/>
            <w:vAlign w:val="center"/>
          </w:tcPr>
          <w:p w14:paraId="1E982893"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1</w:t>
            </w:r>
          </w:p>
        </w:tc>
        <w:tc>
          <w:tcPr>
            <w:tcW w:w="1455" w:type="dxa"/>
            <w:tcBorders>
              <w:top w:val="nil"/>
              <w:left w:val="single" w:sz="8" w:space="0" w:color="000000"/>
              <w:bottom w:val="nil"/>
              <w:right w:val="single" w:sz="16" w:space="0" w:color="000000"/>
              <w:tl2br w:val="nil"/>
              <w:tr2bl w:val="nil"/>
            </w:tcBorders>
            <w:shd w:val="clear" w:color="auto" w:fill="FFFFFF"/>
            <w:vAlign w:val="center"/>
          </w:tcPr>
          <w:p w14:paraId="4E59516A"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.000</w:t>
            </w:r>
          </w:p>
        </w:tc>
      </w:tr>
      <w:tr w:rsidR="00A41C61" w:rsidRPr="00A41C61" w14:paraId="2E4723F2" w14:textId="77777777" w:rsidTr="002761F1">
        <w:trPr>
          <w:cantSplit/>
        </w:trPr>
        <w:tc>
          <w:tcPr>
            <w:tcW w:w="2425" w:type="dxa"/>
            <w:vMerge/>
            <w:tcBorders>
              <w:top w:val="nil"/>
              <w:left w:val="single" w:sz="16" w:space="0" w:color="000000"/>
              <w:bottom w:val="single" w:sz="16" w:space="0" w:color="000000"/>
              <w:right w:val="nil"/>
              <w:tl2br w:val="nil"/>
              <w:tr2bl w:val="nil"/>
            </w:tcBorders>
            <w:shd w:val="clear" w:color="auto" w:fill="FFFFFF"/>
            <w:vAlign w:val="center"/>
          </w:tcPr>
          <w:p w14:paraId="1C856B53" w14:textId="77777777" w:rsidR="00A41C61" w:rsidRPr="00A41C61" w:rsidRDefault="00A41C61" w:rsidP="002761F1">
            <w:pPr>
              <w:rPr>
                <w:rFonts w:ascii="Times New Roman" w:hAnsi="Times New Roman" w:cs="Times New Roman"/>
                <w:sz w:val="18"/>
                <w:szCs w:val="18"/>
              </w:rPr>
            </w:pPr>
          </w:p>
        </w:tc>
        <w:tc>
          <w:tcPr>
            <w:tcW w:w="2425" w:type="dxa"/>
            <w:tcBorders>
              <w:top w:val="nil"/>
              <w:left w:val="nil"/>
              <w:bottom w:val="single" w:sz="16" w:space="0" w:color="000000"/>
              <w:right w:val="single" w:sz="16" w:space="0" w:color="000000"/>
              <w:tl2br w:val="nil"/>
              <w:tr2bl w:val="nil"/>
            </w:tcBorders>
            <w:shd w:val="clear" w:color="auto" w:fill="FFFFFF"/>
            <w:vAlign w:val="center"/>
          </w:tcPr>
          <w:p w14:paraId="45731955" w14:textId="77777777" w:rsidR="00A41C61" w:rsidRPr="00A41C61" w:rsidRDefault="00A41C61" w:rsidP="002761F1">
            <w:pPr>
              <w:spacing w:line="320" w:lineRule="atLeast"/>
              <w:ind w:left="60" w:right="60"/>
              <w:rPr>
                <w:rFonts w:ascii="Times New Roman" w:hAnsi="Times New Roman" w:cs="Times New Roman"/>
                <w:sz w:val="18"/>
                <w:szCs w:val="18"/>
              </w:rPr>
            </w:pPr>
            <w:r w:rsidRPr="00A41C61">
              <w:rPr>
                <w:rFonts w:ascii="Times New Roman" w:hAnsi="Times New Roman" w:cs="Times New Roman"/>
                <w:sz w:val="18"/>
                <w:szCs w:val="18"/>
              </w:rPr>
              <w:t>N of Valid Cases</w:t>
            </w:r>
          </w:p>
        </w:tc>
        <w:tc>
          <w:tcPr>
            <w:tcW w:w="1046" w:type="dxa"/>
            <w:tcBorders>
              <w:top w:val="nil"/>
              <w:left w:val="single" w:sz="16" w:space="0" w:color="000000"/>
              <w:bottom w:val="single" w:sz="16" w:space="0" w:color="000000"/>
              <w:right w:val="single" w:sz="8" w:space="0" w:color="000000"/>
              <w:tl2br w:val="nil"/>
              <w:tr2bl w:val="nil"/>
            </w:tcBorders>
            <w:shd w:val="clear" w:color="auto" w:fill="FFFFFF"/>
            <w:vAlign w:val="center"/>
          </w:tcPr>
          <w:p w14:paraId="6B9FA4F9" w14:textId="77777777" w:rsidR="00A41C61" w:rsidRPr="00A41C61" w:rsidRDefault="00A41C61" w:rsidP="002761F1">
            <w:pPr>
              <w:spacing w:line="320" w:lineRule="atLeast"/>
              <w:ind w:left="60" w:right="60"/>
              <w:jc w:val="right"/>
              <w:rPr>
                <w:rFonts w:ascii="Times New Roman" w:hAnsi="Times New Roman" w:cs="Times New Roman"/>
                <w:sz w:val="18"/>
                <w:szCs w:val="18"/>
              </w:rPr>
            </w:pPr>
            <w:r w:rsidRPr="00A41C61">
              <w:rPr>
                <w:rFonts w:ascii="Times New Roman" w:hAnsi="Times New Roman" w:cs="Times New Roman"/>
                <w:sz w:val="18"/>
                <w:szCs w:val="18"/>
              </w:rPr>
              <w:t>6400</w:t>
            </w:r>
          </w:p>
        </w:tc>
        <w:tc>
          <w:tcPr>
            <w:tcW w:w="1000" w:type="dxa"/>
            <w:tcBorders>
              <w:top w:val="nil"/>
              <w:left w:val="single" w:sz="8" w:space="0" w:color="000000"/>
              <w:bottom w:val="single" w:sz="16" w:space="0" w:color="000000"/>
              <w:right w:val="single" w:sz="8" w:space="0" w:color="000000"/>
              <w:tl2br w:val="nil"/>
              <w:tr2bl w:val="nil"/>
            </w:tcBorders>
            <w:shd w:val="clear" w:color="auto" w:fill="FFFFFF"/>
          </w:tcPr>
          <w:p w14:paraId="6688CF27" w14:textId="77777777" w:rsidR="00A41C61" w:rsidRPr="00A41C61" w:rsidRDefault="00A41C61" w:rsidP="002761F1">
            <w:pPr>
              <w:rPr>
                <w:rFonts w:ascii="Times New Roman" w:hAnsi="Times New Roman" w:cs="Times New Roman"/>
                <w:sz w:val="18"/>
                <w:szCs w:val="18"/>
              </w:rPr>
            </w:pPr>
          </w:p>
        </w:tc>
        <w:tc>
          <w:tcPr>
            <w:tcW w:w="1455" w:type="dxa"/>
            <w:tcBorders>
              <w:top w:val="nil"/>
              <w:left w:val="single" w:sz="8" w:space="0" w:color="000000"/>
              <w:bottom w:val="single" w:sz="16" w:space="0" w:color="000000"/>
              <w:right w:val="single" w:sz="16" w:space="0" w:color="000000"/>
              <w:tl2br w:val="nil"/>
              <w:tr2bl w:val="nil"/>
            </w:tcBorders>
            <w:shd w:val="clear" w:color="auto" w:fill="FFFFFF"/>
          </w:tcPr>
          <w:p w14:paraId="297FFE2F" w14:textId="77777777" w:rsidR="00A41C61" w:rsidRPr="00A41C61" w:rsidRDefault="00A41C61" w:rsidP="002761F1">
            <w:pPr>
              <w:rPr>
                <w:rFonts w:ascii="Times New Roman" w:hAnsi="Times New Roman" w:cs="Times New Roman"/>
                <w:sz w:val="18"/>
                <w:szCs w:val="18"/>
              </w:rPr>
            </w:pPr>
          </w:p>
        </w:tc>
      </w:tr>
      <w:tr w:rsidR="00A41C61" w:rsidRPr="00A41C61" w14:paraId="3D6588C5" w14:textId="77777777" w:rsidTr="002761F1">
        <w:trPr>
          <w:cantSplit/>
        </w:trPr>
        <w:tc>
          <w:tcPr>
            <w:tcW w:w="8351" w:type="dxa"/>
            <w:gridSpan w:val="5"/>
            <w:tcBorders>
              <w:top w:val="nil"/>
              <w:left w:val="nil"/>
              <w:bottom w:val="nil"/>
              <w:right w:val="nil"/>
              <w:tl2br w:val="nil"/>
              <w:tr2bl w:val="nil"/>
            </w:tcBorders>
            <w:shd w:val="clear" w:color="auto" w:fill="FFFFFF"/>
          </w:tcPr>
          <w:p w14:paraId="7A3AD0B4" w14:textId="77777777" w:rsidR="00A41C61" w:rsidRPr="00A41C61" w:rsidRDefault="00A41C61" w:rsidP="002761F1">
            <w:pPr>
              <w:spacing w:line="320" w:lineRule="atLeast"/>
              <w:ind w:left="60" w:right="60"/>
              <w:rPr>
                <w:rFonts w:ascii="Times New Roman" w:hAnsi="Times New Roman" w:cs="Times New Roman"/>
              </w:rPr>
            </w:pPr>
            <w:r w:rsidRPr="00A41C61">
              <w:rPr>
                <w:rFonts w:ascii="Times New Roman" w:hAnsi="Times New Roman" w:cs="Times New Roman"/>
              </w:rPr>
              <w:t>a. 0 cells (0.0%) have expected count less than 5. The minimum expected count is 44.63.</w:t>
            </w:r>
          </w:p>
        </w:tc>
      </w:tr>
      <w:tr w:rsidR="00A41C61" w:rsidRPr="00A41C61" w14:paraId="6484406B" w14:textId="77777777" w:rsidTr="002761F1">
        <w:trPr>
          <w:cantSplit/>
        </w:trPr>
        <w:tc>
          <w:tcPr>
            <w:tcW w:w="8351" w:type="dxa"/>
            <w:gridSpan w:val="5"/>
            <w:tcBorders>
              <w:top w:val="nil"/>
              <w:left w:val="nil"/>
              <w:bottom w:val="nil"/>
              <w:right w:val="nil"/>
              <w:tl2br w:val="nil"/>
              <w:tr2bl w:val="nil"/>
            </w:tcBorders>
            <w:shd w:val="clear" w:color="auto" w:fill="FFFFFF"/>
          </w:tcPr>
          <w:p w14:paraId="7B3CBF4F" w14:textId="77777777" w:rsidR="00A41C61" w:rsidRPr="00A41C61" w:rsidRDefault="00A41C61" w:rsidP="002761F1">
            <w:pPr>
              <w:spacing w:line="320" w:lineRule="atLeast"/>
              <w:ind w:left="60" w:right="60"/>
              <w:rPr>
                <w:rFonts w:ascii="Times New Roman" w:hAnsi="Times New Roman" w:cs="Times New Roman"/>
              </w:rPr>
            </w:pPr>
            <w:r w:rsidRPr="00A41C61">
              <w:rPr>
                <w:rFonts w:ascii="Times New Roman" w:hAnsi="Times New Roman" w:cs="Times New Roman"/>
              </w:rPr>
              <w:t>b. 0 cells (0.0%) have expected count less than 5. The minimum expected count is 9.35.</w:t>
            </w:r>
          </w:p>
        </w:tc>
      </w:tr>
      <w:tr w:rsidR="00A41C61" w:rsidRPr="00A41C61" w14:paraId="10B24A7A" w14:textId="77777777" w:rsidTr="002761F1">
        <w:trPr>
          <w:cantSplit/>
        </w:trPr>
        <w:tc>
          <w:tcPr>
            <w:tcW w:w="8351" w:type="dxa"/>
            <w:gridSpan w:val="5"/>
            <w:tcBorders>
              <w:top w:val="nil"/>
              <w:left w:val="nil"/>
              <w:bottom w:val="nil"/>
              <w:right w:val="nil"/>
              <w:tl2br w:val="nil"/>
              <w:tr2bl w:val="nil"/>
            </w:tcBorders>
            <w:shd w:val="clear" w:color="auto" w:fill="FFFFFF"/>
          </w:tcPr>
          <w:p w14:paraId="40A8397D" w14:textId="77777777" w:rsidR="00A41C61" w:rsidRPr="00A41C61" w:rsidRDefault="00A41C61" w:rsidP="002761F1">
            <w:pPr>
              <w:spacing w:line="320" w:lineRule="atLeast"/>
              <w:ind w:left="60" w:right="60"/>
              <w:rPr>
                <w:rFonts w:ascii="Times New Roman" w:hAnsi="Times New Roman" w:cs="Times New Roman"/>
              </w:rPr>
            </w:pPr>
            <w:r w:rsidRPr="00A41C61">
              <w:rPr>
                <w:rFonts w:ascii="Times New Roman" w:hAnsi="Times New Roman" w:cs="Times New Roman"/>
              </w:rPr>
              <w:lastRenderedPageBreak/>
              <w:t>c. 0 cells (0.0%) have expected count less than 5. The minimum expected count is 12.97.</w:t>
            </w:r>
          </w:p>
        </w:tc>
      </w:tr>
      <w:tr w:rsidR="00A41C61" w:rsidRPr="00A41C61" w14:paraId="033556CD" w14:textId="77777777" w:rsidTr="002761F1">
        <w:trPr>
          <w:cantSplit/>
        </w:trPr>
        <w:tc>
          <w:tcPr>
            <w:tcW w:w="8351" w:type="dxa"/>
            <w:gridSpan w:val="5"/>
            <w:tcBorders>
              <w:top w:val="nil"/>
              <w:left w:val="nil"/>
              <w:bottom w:val="nil"/>
              <w:right w:val="nil"/>
              <w:tl2br w:val="nil"/>
              <w:tr2bl w:val="nil"/>
            </w:tcBorders>
            <w:shd w:val="clear" w:color="auto" w:fill="FFFFFF"/>
          </w:tcPr>
          <w:p w14:paraId="22DFEA89" w14:textId="77777777" w:rsidR="00A41C61" w:rsidRPr="00A41C61" w:rsidRDefault="00A41C61" w:rsidP="002761F1">
            <w:pPr>
              <w:spacing w:line="320" w:lineRule="atLeast"/>
              <w:ind w:left="60" w:right="60"/>
              <w:rPr>
                <w:rFonts w:ascii="Times New Roman" w:hAnsi="Times New Roman" w:cs="Times New Roman"/>
              </w:rPr>
            </w:pPr>
            <w:r w:rsidRPr="00A41C61">
              <w:rPr>
                <w:rFonts w:ascii="Times New Roman" w:hAnsi="Times New Roman" w:cs="Times New Roman"/>
              </w:rPr>
              <w:t>d. 0 cells (0.0%) have expected count less than 5. The minimum expected count is 10.81.</w:t>
            </w:r>
          </w:p>
        </w:tc>
      </w:tr>
      <w:tr w:rsidR="00A41C61" w:rsidRPr="00A41C61" w14:paraId="79A5330E" w14:textId="77777777" w:rsidTr="002761F1">
        <w:trPr>
          <w:cantSplit/>
        </w:trPr>
        <w:tc>
          <w:tcPr>
            <w:tcW w:w="8351" w:type="dxa"/>
            <w:gridSpan w:val="5"/>
            <w:tcBorders>
              <w:top w:val="nil"/>
              <w:left w:val="nil"/>
              <w:bottom w:val="nil"/>
              <w:right w:val="nil"/>
              <w:tl2br w:val="nil"/>
              <w:tr2bl w:val="nil"/>
            </w:tcBorders>
            <w:shd w:val="clear" w:color="auto" w:fill="FFFFFF"/>
          </w:tcPr>
          <w:p w14:paraId="304F9F76" w14:textId="77777777" w:rsidR="00A41C61" w:rsidRPr="00A41C61" w:rsidRDefault="00A41C61" w:rsidP="002761F1">
            <w:pPr>
              <w:spacing w:line="320" w:lineRule="atLeast"/>
              <w:ind w:left="60" w:right="60"/>
              <w:rPr>
                <w:rFonts w:ascii="Times New Roman" w:hAnsi="Times New Roman" w:cs="Times New Roman"/>
              </w:rPr>
            </w:pPr>
            <w:r w:rsidRPr="00A41C61">
              <w:rPr>
                <w:rFonts w:ascii="Times New Roman" w:hAnsi="Times New Roman" w:cs="Times New Roman"/>
              </w:rPr>
              <w:t>e. 0 cells (0.0%) have expected count less than 5. The minimum expected count is 6.94.</w:t>
            </w:r>
          </w:p>
        </w:tc>
      </w:tr>
      <w:tr w:rsidR="00A41C61" w:rsidRPr="00A41C61" w14:paraId="31810142" w14:textId="77777777" w:rsidTr="002761F1">
        <w:trPr>
          <w:cantSplit/>
        </w:trPr>
        <w:tc>
          <w:tcPr>
            <w:tcW w:w="8351" w:type="dxa"/>
            <w:gridSpan w:val="5"/>
            <w:tcBorders>
              <w:top w:val="nil"/>
              <w:left w:val="nil"/>
              <w:bottom w:val="nil"/>
              <w:right w:val="nil"/>
              <w:tl2br w:val="nil"/>
              <w:tr2bl w:val="nil"/>
            </w:tcBorders>
            <w:shd w:val="clear" w:color="auto" w:fill="FFFFFF"/>
          </w:tcPr>
          <w:p w14:paraId="51A491FA" w14:textId="77777777" w:rsidR="00A41C61" w:rsidRPr="00A41C61" w:rsidRDefault="00A41C61" w:rsidP="002761F1">
            <w:pPr>
              <w:spacing w:line="320" w:lineRule="atLeast"/>
              <w:ind w:left="60" w:right="60"/>
              <w:rPr>
                <w:rFonts w:ascii="Times New Roman" w:hAnsi="Times New Roman" w:cs="Times New Roman"/>
              </w:rPr>
            </w:pPr>
            <w:r w:rsidRPr="00A41C61">
              <w:rPr>
                <w:rFonts w:ascii="Times New Roman" w:hAnsi="Times New Roman" w:cs="Times New Roman"/>
              </w:rPr>
              <w:t>f. 4 cells (50.0%) have expected count less than 5. The minimum expected count is 1.13.</w:t>
            </w:r>
          </w:p>
        </w:tc>
      </w:tr>
    </w:tbl>
    <w:p w14:paraId="3D1A07DC" w14:textId="77777777" w:rsidR="00A41C61" w:rsidRDefault="00A41C61" w:rsidP="00A41C61">
      <w:pPr>
        <w:spacing w:line="400" w:lineRule="atLeast"/>
        <w:rPr>
          <w:rFonts w:ascii="Times New Roman" w:eastAsia="Times New Roman" w:hAnsi="Times New Roman"/>
          <w:sz w:val="24"/>
        </w:rPr>
      </w:pPr>
    </w:p>
    <w:p w14:paraId="2AAC5652" w14:textId="77777777" w:rsidR="00A41C61" w:rsidRDefault="00A41C61" w:rsidP="00A41C61"/>
    <w:p w14:paraId="307841A3" w14:textId="77777777" w:rsidR="00A41C61" w:rsidRPr="0040728C" w:rsidRDefault="00A41C61" w:rsidP="00A41C61">
      <w:pPr>
        <w:rPr>
          <w:rFonts w:ascii="Times New Roman" w:hAnsi="Times New Roman"/>
          <w:b/>
          <w:bCs/>
          <w:sz w:val="24"/>
        </w:rPr>
      </w:pPr>
      <w:r w:rsidRPr="0040728C">
        <w:rPr>
          <w:rFonts w:ascii="Times New Roman" w:hAnsi="Times New Roman"/>
          <w:b/>
          <w:bCs/>
          <w:sz w:val="24"/>
        </w:rPr>
        <w:t>9.0</w:t>
      </w:r>
      <w:r>
        <w:rPr>
          <w:rFonts w:ascii="Times New Roman" w:hAnsi="Times New Roman"/>
          <w:b/>
          <w:bCs/>
          <w:sz w:val="24"/>
        </w:rPr>
        <w:t xml:space="preserve">. </w:t>
      </w:r>
      <w:r w:rsidRPr="0040728C">
        <w:rPr>
          <w:rFonts w:ascii="Times New Roman" w:hAnsi="Times New Roman"/>
          <w:b/>
          <w:bCs/>
          <w:sz w:val="24"/>
        </w:rPr>
        <w:t>Conclusion</w:t>
      </w:r>
    </w:p>
    <w:p w14:paraId="107AC663" w14:textId="77777777" w:rsidR="00A41C61" w:rsidRDefault="00A41C61" w:rsidP="00A41C61">
      <w:pPr>
        <w:rPr>
          <w:rFonts w:ascii="Calibri" w:hAnsi="Calibri" w:cs="Calibri"/>
          <w:sz w:val="24"/>
        </w:rPr>
      </w:pPr>
    </w:p>
    <w:p w14:paraId="511971F8" w14:textId="77777777" w:rsidR="00A41C61" w:rsidRPr="0040728C" w:rsidRDefault="00A41C61" w:rsidP="00A41C61">
      <w:pPr>
        <w:jc w:val="both"/>
        <w:rPr>
          <w:rFonts w:ascii="Times New Roman" w:hAnsi="Times New Roman"/>
          <w:sz w:val="24"/>
        </w:rPr>
      </w:pPr>
      <w:r w:rsidRPr="0040728C">
        <w:rPr>
          <w:rFonts w:ascii="Times New Roman" w:hAnsi="Times New Roman"/>
          <w:sz w:val="24"/>
        </w:rPr>
        <w:t>In conclusion, the analysis of the chi-square statistics table within the education categories reveals a notable relationship between income levels and VCR ownership. Typically, a significance value below 0.05 is considered "significant," indicating that the observed relationship is likely not due to random chance.</w:t>
      </w:r>
    </w:p>
    <w:p w14:paraId="5836252A" w14:textId="77777777" w:rsidR="00A41C61" w:rsidRPr="0040728C" w:rsidRDefault="00A41C61" w:rsidP="00A41C61">
      <w:pPr>
        <w:jc w:val="both"/>
        <w:rPr>
          <w:rFonts w:ascii="Times New Roman" w:hAnsi="Times New Roman"/>
          <w:sz w:val="24"/>
        </w:rPr>
      </w:pPr>
    </w:p>
    <w:p w14:paraId="303C8F94" w14:textId="77777777" w:rsidR="00A41C61" w:rsidRPr="0040728C" w:rsidRDefault="00A41C61" w:rsidP="00A41C61">
      <w:pPr>
        <w:jc w:val="both"/>
        <w:rPr>
          <w:rFonts w:ascii="Times New Roman" w:hAnsi="Times New Roman"/>
          <w:sz w:val="24"/>
        </w:rPr>
      </w:pPr>
      <w:r w:rsidRPr="0040728C">
        <w:rPr>
          <w:rFonts w:ascii="Times New Roman" w:hAnsi="Times New Roman"/>
          <w:sz w:val="24"/>
        </w:rPr>
        <w:t>The results strongly suggest a significant association between income levels and VCR ownership within the surveyed population. Individuals with higher incomes are more likely to own VCRs, while those with lower incomes exhibit lower rates of ownership.</w:t>
      </w:r>
    </w:p>
    <w:p w14:paraId="1E5CFA02" w14:textId="77777777" w:rsidR="00A41C61" w:rsidRPr="0040728C" w:rsidRDefault="00A41C61" w:rsidP="00A41C61">
      <w:pPr>
        <w:jc w:val="both"/>
        <w:rPr>
          <w:rFonts w:ascii="Times New Roman" w:hAnsi="Times New Roman"/>
          <w:sz w:val="24"/>
        </w:rPr>
      </w:pPr>
    </w:p>
    <w:p w14:paraId="6FEFDF03" w14:textId="77777777" w:rsidR="00A41C61" w:rsidRPr="0040728C" w:rsidRDefault="00A41C61" w:rsidP="00A41C61">
      <w:pPr>
        <w:jc w:val="both"/>
        <w:rPr>
          <w:rFonts w:ascii="Times New Roman" w:hAnsi="Times New Roman"/>
          <w:sz w:val="24"/>
        </w:rPr>
      </w:pPr>
      <w:r w:rsidRPr="0040728C">
        <w:rPr>
          <w:rFonts w:ascii="Times New Roman" w:hAnsi="Times New Roman"/>
          <w:sz w:val="24"/>
        </w:rPr>
        <w:t>Moreover, the analysis unveils an underlying relationship between education level and VCR ownership. As education levels rise, there is a corresponding increase in income. This trend indicates that apparent relationships observed between income and other variables may, in fact, be influenced by educational differences.</w:t>
      </w:r>
    </w:p>
    <w:p w14:paraId="604B7072" w14:textId="77777777" w:rsidR="00A41C61" w:rsidRPr="0040728C" w:rsidRDefault="00A41C61" w:rsidP="00A41C61">
      <w:pPr>
        <w:jc w:val="both"/>
        <w:rPr>
          <w:rFonts w:ascii="Times New Roman" w:hAnsi="Times New Roman"/>
          <w:sz w:val="24"/>
        </w:rPr>
      </w:pPr>
    </w:p>
    <w:p w14:paraId="4925B714" w14:textId="675E52B1" w:rsidR="00A41C61" w:rsidRPr="0040728C" w:rsidRDefault="00A41C61" w:rsidP="00A41C61">
      <w:pPr>
        <w:jc w:val="both"/>
        <w:rPr>
          <w:rFonts w:ascii="Times New Roman" w:hAnsi="Times New Roman"/>
          <w:sz w:val="24"/>
        </w:rPr>
      </w:pPr>
      <w:r w:rsidRPr="0040728C">
        <w:rPr>
          <w:rFonts w:ascii="Times New Roman" w:hAnsi="Times New Roman"/>
          <w:sz w:val="24"/>
        </w:rPr>
        <w:t xml:space="preserve">The link between education, income, and VCR ownership underscores the complex interplay of socio-economic factors in consumer </w:t>
      </w:r>
      <w:r w:rsidR="00B4045D" w:rsidRPr="0040728C">
        <w:rPr>
          <w:rFonts w:ascii="Times New Roman" w:hAnsi="Times New Roman"/>
          <w:sz w:val="24"/>
        </w:rPr>
        <w:t>behaviors</w:t>
      </w:r>
      <w:r w:rsidRPr="0040728C">
        <w:rPr>
          <w:rFonts w:ascii="Times New Roman" w:hAnsi="Times New Roman"/>
          <w:sz w:val="24"/>
        </w:rPr>
        <w:t>. Individuals with higher educational attainment are more likely to have higher incomes, which, in turn, enables them to afford and invest in technologies such as VCRs.</w:t>
      </w:r>
    </w:p>
    <w:p w14:paraId="46ED6929" w14:textId="6BE5C10C" w:rsidR="00A41C61" w:rsidRPr="0040728C" w:rsidRDefault="00A41C61" w:rsidP="00A41C61">
      <w:pPr>
        <w:jc w:val="both"/>
        <w:rPr>
          <w:rFonts w:ascii="Times New Roman" w:hAnsi="Times New Roman"/>
          <w:sz w:val="24"/>
        </w:rPr>
      </w:pPr>
      <w:r w:rsidRPr="0040728C">
        <w:rPr>
          <w:rFonts w:ascii="Times New Roman" w:hAnsi="Times New Roman"/>
          <w:sz w:val="24"/>
        </w:rPr>
        <w:t xml:space="preserve">This nuanced understanding sheds light on the broader dynamics at play within the consumer landscape. It emphasizes the need to consider multiple factors when </w:t>
      </w:r>
      <w:r w:rsidR="00B4045D" w:rsidRPr="0040728C">
        <w:rPr>
          <w:rFonts w:ascii="Times New Roman" w:hAnsi="Times New Roman"/>
          <w:sz w:val="24"/>
        </w:rPr>
        <w:t>analyzing</w:t>
      </w:r>
      <w:r w:rsidRPr="0040728C">
        <w:rPr>
          <w:rFonts w:ascii="Times New Roman" w:hAnsi="Times New Roman"/>
          <w:sz w:val="24"/>
        </w:rPr>
        <w:t xml:space="preserve"> consumer </w:t>
      </w:r>
      <w:r w:rsidR="00B4045D" w:rsidRPr="0040728C">
        <w:rPr>
          <w:rFonts w:ascii="Times New Roman" w:hAnsi="Times New Roman"/>
          <w:sz w:val="24"/>
        </w:rPr>
        <w:t>behaviors</w:t>
      </w:r>
      <w:r w:rsidRPr="0040728C">
        <w:rPr>
          <w:rFonts w:ascii="Times New Roman" w:hAnsi="Times New Roman"/>
          <w:sz w:val="24"/>
        </w:rPr>
        <w:t xml:space="preserve"> and preferences, rather than viewing variables in isolation.</w:t>
      </w:r>
    </w:p>
    <w:p w14:paraId="1CE81D24" w14:textId="77777777" w:rsidR="00A41C61" w:rsidRPr="0040728C" w:rsidRDefault="00A41C61" w:rsidP="00A41C61">
      <w:pPr>
        <w:jc w:val="both"/>
        <w:rPr>
          <w:rFonts w:ascii="Times New Roman" w:hAnsi="Times New Roman"/>
          <w:sz w:val="24"/>
        </w:rPr>
      </w:pPr>
    </w:p>
    <w:p w14:paraId="0FB2C05A" w14:textId="77777777" w:rsidR="00A41C61" w:rsidRPr="0040728C" w:rsidRDefault="00A41C61" w:rsidP="00A41C61">
      <w:pPr>
        <w:jc w:val="both"/>
        <w:rPr>
          <w:rFonts w:ascii="Times New Roman" w:hAnsi="Times New Roman"/>
          <w:sz w:val="24"/>
        </w:rPr>
      </w:pPr>
      <w:r w:rsidRPr="0040728C">
        <w:rPr>
          <w:rFonts w:ascii="Times New Roman" w:hAnsi="Times New Roman"/>
          <w:sz w:val="24"/>
        </w:rPr>
        <w:t>Moving forward, these findings hold valuable implications for market researchers, policymakers, and businesses. Tailoring marketing strategies, product offerings, or educational initiatives to specific income and education demographics can enhance effectiveness and target audiences more precisely.</w:t>
      </w:r>
    </w:p>
    <w:p w14:paraId="578A011B" w14:textId="77777777" w:rsidR="00A41C61" w:rsidRPr="0040728C" w:rsidRDefault="00A41C61" w:rsidP="00A41C61">
      <w:pPr>
        <w:jc w:val="both"/>
        <w:rPr>
          <w:rFonts w:ascii="Times New Roman" w:hAnsi="Times New Roman"/>
          <w:sz w:val="24"/>
        </w:rPr>
      </w:pPr>
    </w:p>
    <w:p w14:paraId="64593C6D" w14:textId="77777777" w:rsidR="00A41C61" w:rsidRPr="0040728C" w:rsidRDefault="00A41C61" w:rsidP="00A41C61">
      <w:pPr>
        <w:jc w:val="both"/>
        <w:rPr>
          <w:rFonts w:ascii="Times New Roman" w:hAnsi="Times New Roman"/>
          <w:sz w:val="24"/>
        </w:rPr>
      </w:pPr>
      <w:r w:rsidRPr="0040728C">
        <w:rPr>
          <w:rFonts w:ascii="Times New Roman" w:hAnsi="Times New Roman"/>
          <w:sz w:val="24"/>
        </w:rPr>
        <w:t>In essence, the study highlights the intricate relationships between income, education, and consumer technology adoption. It underscores the importance of considering these multifaceted variables when seeking to understand and cater to diverse consumer needs and preferences within a dynamic socio-economic landscape.</w:t>
      </w:r>
    </w:p>
    <w:p w14:paraId="16A67633" w14:textId="77777777" w:rsidR="00A41C61" w:rsidRDefault="00A41C61">
      <w:pPr>
        <w:rPr>
          <w:rFonts w:ascii="Times New Roman" w:eastAsia="SimSun" w:hAnsi="Times New Roman" w:cs="Times New Roman"/>
          <w:sz w:val="24"/>
          <w:szCs w:val="24"/>
          <w:lang w:val="en-GB"/>
        </w:rPr>
      </w:pPr>
    </w:p>
    <w:p w14:paraId="4BA0B772" w14:textId="77777777" w:rsidR="00860BD9" w:rsidRPr="00466EDA" w:rsidRDefault="00860BD9">
      <w:pPr>
        <w:rPr>
          <w:rFonts w:ascii="Times New Roman" w:eastAsia="SimSun" w:hAnsi="Times New Roman" w:cs="Times New Roman"/>
          <w:sz w:val="24"/>
          <w:szCs w:val="24"/>
          <w:lang w:val="en-GB"/>
        </w:rPr>
      </w:pPr>
    </w:p>
    <w:p w14:paraId="2C660D2C" w14:textId="77777777" w:rsidR="00371098" w:rsidRDefault="00371098">
      <w:pPr>
        <w:rPr>
          <w:rFonts w:ascii="SimSun" w:eastAsia="SimSun" w:hAnsi="SimSun" w:cs="SimSun"/>
          <w:sz w:val="24"/>
          <w:szCs w:val="24"/>
          <w:lang w:val="en-GB"/>
        </w:rPr>
      </w:pPr>
    </w:p>
    <w:p w14:paraId="62140E80" w14:textId="77777777" w:rsidR="00371098" w:rsidRDefault="00371098">
      <w:pPr>
        <w:rPr>
          <w:rFonts w:ascii="SimSun" w:eastAsia="SimSun" w:hAnsi="SimSun" w:cs="SimSun"/>
          <w:sz w:val="24"/>
          <w:szCs w:val="24"/>
          <w:lang w:val="en-GB"/>
        </w:rPr>
      </w:pPr>
    </w:p>
    <w:sectPr w:rsidR="0037109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371098"/>
    <w:rsid w:val="00461004"/>
    <w:rsid w:val="00466EDA"/>
    <w:rsid w:val="00860BD9"/>
    <w:rsid w:val="00A050B4"/>
    <w:rsid w:val="00A36CBD"/>
    <w:rsid w:val="00A41C61"/>
    <w:rsid w:val="00B10976"/>
    <w:rsid w:val="00B4045D"/>
    <w:rsid w:val="00B57C84"/>
    <w:rsid w:val="00BD0355"/>
    <w:rsid w:val="00C421A6"/>
    <w:rsid w:val="00DD6F0B"/>
    <w:rsid w:val="00E16F6C"/>
    <w:rsid w:val="00EA4AAE"/>
    <w:rsid w:val="00F102CD"/>
    <w:rsid w:val="00F711C6"/>
    <w:rsid w:val="0CBF679C"/>
    <w:rsid w:val="112A6877"/>
    <w:rsid w:val="120A74E2"/>
    <w:rsid w:val="13C44E82"/>
    <w:rsid w:val="1AFB1F7C"/>
    <w:rsid w:val="208F05CC"/>
    <w:rsid w:val="21CD2E24"/>
    <w:rsid w:val="239C615D"/>
    <w:rsid w:val="26AD3EF9"/>
    <w:rsid w:val="2A0E0E0E"/>
    <w:rsid w:val="2DA253AE"/>
    <w:rsid w:val="31C745AF"/>
    <w:rsid w:val="3AF91D92"/>
    <w:rsid w:val="42281AC0"/>
    <w:rsid w:val="484D0E76"/>
    <w:rsid w:val="498F3FAE"/>
    <w:rsid w:val="4F3C3EF2"/>
    <w:rsid w:val="4FA10368"/>
    <w:rsid w:val="5B5137E3"/>
    <w:rsid w:val="5DCB1C64"/>
    <w:rsid w:val="64711C29"/>
    <w:rsid w:val="691313B5"/>
    <w:rsid w:val="6D620E89"/>
    <w:rsid w:val="73B230BA"/>
    <w:rsid w:val="7A8B5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51C78"/>
  <w15:docId w15:val="{698AFCFD-5102-44A0-9CB3-147B8D11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9" w:unhideWhenUsed="1" w:qFormat="1"/>
    <w:lsdException w:name="heading 2" w:uiPriority="99" w:unhideWhenUsed="1" w:qFormat="1"/>
    <w:lsdException w:name="heading 3"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uiPriority w:val="99"/>
    <w:unhideWhenUsed/>
    <w:qFormat/>
    <w:pPr>
      <w:widowControl w:val="0"/>
      <w:autoSpaceDE w:val="0"/>
      <w:autoSpaceDN w:val="0"/>
      <w:adjustRightInd w:val="0"/>
      <w:outlineLvl w:val="0"/>
    </w:pPr>
    <w:rPr>
      <w:rFonts w:ascii="Courier New" w:hAnsi="Courier New"/>
      <w:b/>
      <w:color w:val="000000"/>
      <w:sz w:val="32"/>
      <w:szCs w:val="24"/>
    </w:rPr>
  </w:style>
  <w:style w:type="paragraph" w:styleId="Heading2">
    <w:name w:val="heading 2"/>
    <w:next w:val="Normal"/>
    <w:uiPriority w:val="99"/>
    <w:unhideWhenUsed/>
    <w:qFormat/>
    <w:pPr>
      <w:widowControl w:val="0"/>
      <w:autoSpaceDE w:val="0"/>
      <w:autoSpaceDN w:val="0"/>
      <w:adjustRightInd w:val="0"/>
      <w:outlineLvl w:val="1"/>
    </w:pPr>
    <w:rPr>
      <w:rFonts w:ascii="Courier New" w:hAnsi="Courier New"/>
      <w:b/>
      <w:i/>
      <w:color w:val="000000"/>
      <w:sz w:val="28"/>
      <w:szCs w:val="24"/>
    </w:rPr>
  </w:style>
  <w:style w:type="paragraph" w:styleId="Heading3">
    <w:name w:val="heading 3"/>
    <w:next w:val="Normal"/>
    <w:uiPriority w:val="99"/>
    <w:unhideWhenUsed/>
    <w:qFormat/>
    <w:pPr>
      <w:widowControl w:val="0"/>
      <w:autoSpaceDE w:val="0"/>
      <w:autoSpaceDN w:val="0"/>
      <w:adjustRightInd w:val="0"/>
      <w:outlineLvl w:val="2"/>
    </w:pPr>
    <w:rPr>
      <w:rFonts w:ascii="Courier New" w:hAnsi="Courier New"/>
      <w:b/>
      <w:color w:val="00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character" w:customStyle="1" w:styleId="name">
    <w:name w:val="name"/>
    <w:basedOn w:val="DefaultParagraphFont"/>
    <w:qFormat/>
  </w:style>
  <w:style w:type="paragraph" w:styleId="ListParagraph">
    <w:name w:val="List Paragraph"/>
    <w:basedOn w:val="Normal"/>
    <w:uiPriority w:val="99"/>
    <w:unhideWhenUsed/>
    <w:rsid w:val="00E1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1117">
      <w:bodyDiv w:val="1"/>
      <w:marLeft w:val="0"/>
      <w:marRight w:val="0"/>
      <w:marTop w:val="0"/>
      <w:marBottom w:val="0"/>
      <w:divBdr>
        <w:top w:val="none" w:sz="0" w:space="0" w:color="auto"/>
        <w:left w:val="none" w:sz="0" w:space="0" w:color="auto"/>
        <w:bottom w:val="none" w:sz="0" w:space="0" w:color="auto"/>
        <w:right w:val="none" w:sz="0" w:space="0" w:color="auto"/>
      </w:divBdr>
    </w:div>
    <w:div w:id="257717312">
      <w:bodyDiv w:val="1"/>
      <w:marLeft w:val="0"/>
      <w:marRight w:val="0"/>
      <w:marTop w:val="0"/>
      <w:marBottom w:val="0"/>
      <w:divBdr>
        <w:top w:val="none" w:sz="0" w:space="0" w:color="auto"/>
        <w:left w:val="none" w:sz="0" w:space="0" w:color="auto"/>
        <w:bottom w:val="none" w:sz="0" w:space="0" w:color="auto"/>
        <w:right w:val="none" w:sz="0" w:space="0" w:color="auto"/>
      </w:divBdr>
    </w:div>
    <w:div w:id="328946780">
      <w:bodyDiv w:val="1"/>
      <w:marLeft w:val="0"/>
      <w:marRight w:val="0"/>
      <w:marTop w:val="0"/>
      <w:marBottom w:val="0"/>
      <w:divBdr>
        <w:top w:val="none" w:sz="0" w:space="0" w:color="auto"/>
        <w:left w:val="none" w:sz="0" w:space="0" w:color="auto"/>
        <w:bottom w:val="none" w:sz="0" w:space="0" w:color="auto"/>
        <w:right w:val="none" w:sz="0" w:space="0" w:color="auto"/>
      </w:divBdr>
    </w:div>
    <w:div w:id="492067173">
      <w:bodyDiv w:val="1"/>
      <w:marLeft w:val="0"/>
      <w:marRight w:val="0"/>
      <w:marTop w:val="0"/>
      <w:marBottom w:val="0"/>
      <w:divBdr>
        <w:top w:val="none" w:sz="0" w:space="0" w:color="auto"/>
        <w:left w:val="none" w:sz="0" w:space="0" w:color="auto"/>
        <w:bottom w:val="none" w:sz="0" w:space="0" w:color="auto"/>
        <w:right w:val="none" w:sz="0" w:space="0" w:color="auto"/>
      </w:divBdr>
    </w:div>
    <w:div w:id="521554595">
      <w:bodyDiv w:val="1"/>
      <w:marLeft w:val="0"/>
      <w:marRight w:val="0"/>
      <w:marTop w:val="0"/>
      <w:marBottom w:val="0"/>
      <w:divBdr>
        <w:top w:val="none" w:sz="0" w:space="0" w:color="auto"/>
        <w:left w:val="none" w:sz="0" w:space="0" w:color="auto"/>
        <w:bottom w:val="none" w:sz="0" w:space="0" w:color="auto"/>
        <w:right w:val="none" w:sz="0" w:space="0" w:color="auto"/>
      </w:divBdr>
    </w:div>
    <w:div w:id="573860505">
      <w:bodyDiv w:val="1"/>
      <w:marLeft w:val="0"/>
      <w:marRight w:val="0"/>
      <w:marTop w:val="0"/>
      <w:marBottom w:val="0"/>
      <w:divBdr>
        <w:top w:val="none" w:sz="0" w:space="0" w:color="auto"/>
        <w:left w:val="none" w:sz="0" w:space="0" w:color="auto"/>
        <w:bottom w:val="none" w:sz="0" w:space="0" w:color="auto"/>
        <w:right w:val="none" w:sz="0" w:space="0" w:color="auto"/>
      </w:divBdr>
    </w:div>
    <w:div w:id="641010281">
      <w:bodyDiv w:val="1"/>
      <w:marLeft w:val="0"/>
      <w:marRight w:val="0"/>
      <w:marTop w:val="0"/>
      <w:marBottom w:val="0"/>
      <w:divBdr>
        <w:top w:val="none" w:sz="0" w:space="0" w:color="auto"/>
        <w:left w:val="none" w:sz="0" w:space="0" w:color="auto"/>
        <w:bottom w:val="none" w:sz="0" w:space="0" w:color="auto"/>
        <w:right w:val="none" w:sz="0" w:space="0" w:color="auto"/>
      </w:divBdr>
    </w:div>
    <w:div w:id="787041634">
      <w:bodyDiv w:val="1"/>
      <w:marLeft w:val="0"/>
      <w:marRight w:val="0"/>
      <w:marTop w:val="0"/>
      <w:marBottom w:val="0"/>
      <w:divBdr>
        <w:top w:val="none" w:sz="0" w:space="0" w:color="auto"/>
        <w:left w:val="none" w:sz="0" w:space="0" w:color="auto"/>
        <w:bottom w:val="none" w:sz="0" w:space="0" w:color="auto"/>
        <w:right w:val="none" w:sz="0" w:space="0" w:color="auto"/>
      </w:divBdr>
    </w:div>
    <w:div w:id="818688217">
      <w:bodyDiv w:val="1"/>
      <w:marLeft w:val="0"/>
      <w:marRight w:val="0"/>
      <w:marTop w:val="0"/>
      <w:marBottom w:val="0"/>
      <w:divBdr>
        <w:top w:val="none" w:sz="0" w:space="0" w:color="auto"/>
        <w:left w:val="none" w:sz="0" w:space="0" w:color="auto"/>
        <w:bottom w:val="none" w:sz="0" w:space="0" w:color="auto"/>
        <w:right w:val="none" w:sz="0" w:space="0" w:color="auto"/>
      </w:divBdr>
    </w:div>
    <w:div w:id="822164384">
      <w:bodyDiv w:val="1"/>
      <w:marLeft w:val="0"/>
      <w:marRight w:val="0"/>
      <w:marTop w:val="0"/>
      <w:marBottom w:val="0"/>
      <w:divBdr>
        <w:top w:val="none" w:sz="0" w:space="0" w:color="auto"/>
        <w:left w:val="none" w:sz="0" w:space="0" w:color="auto"/>
        <w:bottom w:val="none" w:sz="0" w:space="0" w:color="auto"/>
        <w:right w:val="none" w:sz="0" w:space="0" w:color="auto"/>
      </w:divBdr>
    </w:div>
    <w:div w:id="857088500">
      <w:bodyDiv w:val="1"/>
      <w:marLeft w:val="0"/>
      <w:marRight w:val="0"/>
      <w:marTop w:val="0"/>
      <w:marBottom w:val="0"/>
      <w:divBdr>
        <w:top w:val="none" w:sz="0" w:space="0" w:color="auto"/>
        <w:left w:val="none" w:sz="0" w:space="0" w:color="auto"/>
        <w:bottom w:val="none" w:sz="0" w:space="0" w:color="auto"/>
        <w:right w:val="none" w:sz="0" w:space="0" w:color="auto"/>
      </w:divBdr>
      <w:divsChild>
        <w:div w:id="1659655702">
          <w:marLeft w:val="0"/>
          <w:marRight w:val="0"/>
          <w:marTop w:val="0"/>
          <w:marBottom w:val="0"/>
          <w:divBdr>
            <w:top w:val="single" w:sz="2" w:space="0" w:color="E3E3E3"/>
            <w:left w:val="single" w:sz="2" w:space="0" w:color="E3E3E3"/>
            <w:bottom w:val="single" w:sz="2" w:space="0" w:color="E3E3E3"/>
            <w:right w:val="single" w:sz="2" w:space="0" w:color="E3E3E3"/>
          </w:divBdr>
          <w:divsChild>
            <w:div w:id="2005669418">
              <w:marLeft w:val="0"/>
              <w:marRight w:val="0"/>
              <w:marTop w:val="0"/>
              <w:marBottom w:val="0"/>
              <w:divBdr>
                <w:top w:val="single" w:sz="2" w:space="0" w:color="E3E3E3"/>
                <w:left w:val="single" w:sz="2" w:space="0" w:color="E3E3E3"/>
                <w:bottom w:val="single" w:sz="2" w:space="0" w:color="E3E3E3"/>
                <w:right w:val="single" w:sz="2" w:space="0" w:color="E3E3E3"/>
              </w:divBdr>
              <w:divsChild>
                <w:div w:id="764692988">
                  <w:marLeft w:val="0"/>
                  <w:marRight w:val="0"/>
                  <w:marTop w:val="0"/>
                  <w:marBottom w:val="0"/>
                  <w:divBdr>
                    <w:top w:val="single" w:sz="2" w:space="0" w:color="E3E3E3"/>
                    <w:left w:val="single" w:sz="2" w:space="0" w:color="E3E3E3"/>
                    <w:bottom w:val="single" w:sz="2" w:space="0" w:color="E3E3E3"/>
                    <w:right w:val="single" w:sz="2" w:space="0" w:color="E3E3E3"/>
                  </w:divBdr>
                  <w:divsChild>
                    <w:div w:id="686910509">
                      <w:marLeft w:val="0"/>
                      <w:marRight w:val="0"/>
                      <w:marTop w:val="0"/>
                      <w:marBottom w:val="0"/>
                      <w:divBdr>
                        <w:top w:val="single" w:sz="2" w:space="0" w:color="E3E3E3"/>
                        <w:left w:val="single" w:sz="2" w:space="0" w:color="E3E3E3"/>
                        <w:bottom w:val="single" w:sz="2" w:space="0" w:color="E3E3E3"/>
                        <w:right w:val="single" w:sz="2" w:space="0" w:color="E3E3E3"/>
                      </w:divBdr>
                      <w:divsChild>
                        <w:div w:id="61488040">
                          <w:marLeft w:val="0"/>
                          <w:marRight w:val="0"/>
                          <w:marTop w:val="0"/>
                          <w:marBottom w:val="0"/>
                          <w:divBdr>
                            <w:top w:val="single" w:sz="2" w:space="0" w:color="E3E3E3"/>
                            <w:left w:val="single" w:sz="2" w:space="0" w:color="E3E3E3"/>
                            <w:bottom w:val="single" w:sz="2" w:space="0" w:color="E3E3E3"/>
                            <w:right w:val="single" w:sz="2" w:space="0" w:color="E3E3E3"/>
                          </w:divBdr>
                          <w:divsChild>
                            <w:div w:id="106549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94241">
                                  <w:marLeft w:val="0"/>
                                  <w:marRight w:val="0"/>
                                  <w:marTop w:val="0"/>
                                  <w:marBottom w:val="0"/>
                                  <w:divBdr>
                                    <w:top w:val="single" w:sz="2" w:space="0" w:color="E3E3E3"/>
                                    <w:left w:val="single" w:sz="2" w:space="0" w:color="E3E3E3"/>
                                    <w:bottom w:val="single" w:sz="2" w:space="0" w:color="E3E3E3"/>
                                    <w:right w:val="single" w:sz="2" w:space="0" w:color="E3E3E3"/>
                                  </w:divBdr>
                                  <w:divsChild>
                                    <w:div w:id="593249628">
                                      <w:marLeft w:val="0"/>
                                      <w:marRight w:val="0"/>
                                      <w:marTop w:val="0"/>
                                      <w:marBottom w:val="0"/>
                                      <w:divBdr>
                                        <w:top w:val="single" w:sz="2" w:space="0" w:color="E3E3E3"/>
                                        <w:left w:val="single" w:sz="2" w:space="0" w:color="E3E3E3"/>
                                        <w:bottom w:val="single" w:sz="2" w:space="0" w:color="E3E3E3"/>
                                        <w:right w:val="single" w:sz="2" w:space="0" w:color="E3E3E3"/>
                                      </w:divBdr>
                                      <w:divsChild>
                                        <w:div w:id="1320384434">
                                          <w:marLeft w:val="0"/>
                                          <w:marRight w:val="0"/>
                                          <w:marTop w:val="0"/>
                                          <w:marBottom w:val="0"/>
                                          <w:divBdr>
                                            <w:top w:val="single" w:sz="2" w:space="0" w:color="E3E3E3"/>
                                            <w:left w:val="single" w:sz="2" w:space="0" w:color="E3E3E3"/>
                                            <w:bottom w:val="single" w:sz="2" w:space="0" w:color="E3E3E3"/>
                                            <w:right w:val="single" w:sz="2" w:space="0" w:color="E3E3E3"/>
                                          </w:divBdr>
                                          <w:divsChild>
                                            <w:div w:id="1539001388">
                                              <w:marLeft w:val="0"/>
                                              <w:marRight w:val="0"/>
                                              <w:marTop w:val="0"/>
                                              <w:marBottom w:val="0"/>
                                              <w:divBdr>
                                                <w:top w:val="single" w:sz="2" w:space="0" w:color="E3E3E3"/>
                                                <w:left w:val="single" w:sz="2" w:space="0" w:color="E3E3E3"/>
                                                <w:bottom w:val="single" w:sz="2" w:space="0" w:color="E3E3E3"/>
                                                <w:right w:val="single" w:sz="2" w:space="0" w:color="E3E3E3"/>
                                              </w:divBdr>
                                              <w:divsChild>
                                                <w:div w:id="1777939956">
                                                  <w:marLeft w:val="0"/>
                                                  <w:marRight w:val="0"/>
                                                  <w:marTop w:val="0"/>
                                                  <w:marBottom w:val="0"/>
                                                  <w:divBdr>
                                                    <w:top w:val="single" w:sz="2" w:space="0" w:color="E3E3E3"/>
                                                    <w:left w:val="single" w:sz="2" w:space="0" w:color="E3E3E3"/>
                                                    <w:bottom w:val="single" w:sz="2" w:space="0" w:color="E3E3E3"/>
                                                    <w:right w:val="single" w:sz="2" w:space="0" w:color="E3E3E3"/>
                                                  </w:divBdr>
                                                  <w:divsChild>
                                                    <w:div w:id="171338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7013514">
          <w:marLeft w:val="0"/>
          <w:marRight w:val="0"/>
          <w:marTop w:val="0"/>
          <w:marBottom w:val="0"/>
          <w:divBdr>
            <w:top w:val="none" w:sz="0" w:space="0" w:color="auto"/>
            <w:left w:val="none" w:sz="0" w:space="0" w:color="auto"/>
            <w:bottom w:val="none" w:sz="0" w:space="0" w:color="auto"/>
            <w:right w:val="none" w:sz="0" w:space="0" w:color="auto"/>
          </w:divBdr>
        </w:div>
      </w:divsChild>
    </w:div>
    <w:div w:id="903877357">
      <w:bodyDiv w:val="1"/>
      <w:marLeft w:val="0"/>
      <w:marRight w:val="0"/>
      <w:marTop w:val="0"/>
      <w:marBottom w:val="0"/>
      <w:divBdr>
        <w:top w:val="none" w:sz="0" w:space="0" w:color="auto"/>
        <w:left w:val="none" w:sz="0" w:space="0" w:color="auto"/>
        <w:bottom w:val="none" w:sz="0" w:space="0" w:color="auto"/>
        <w:right w:val="none" w:sz="0" w:space="0" w:color="auto"/>
      </w:divBdr>
    </w:div>
    <w:div w:id="919020003">
      <w:bodyDiv w:val="1"/>
      <w:marLeft w:val="0"/>
      <w:marRight w:val="0"/>
      <w:marTop w:val="0"/>
      <w:marBottom w:val="0"/>
      <w:divBdr>
        <w:top w:val="none" w:sz="0" w:space="0" w:color="auto"/>
        <w:left w:val="none" w:sz="0" w:space="0" w:color="auto"/>
        <w:bottom w:val="none" w:sz="0" w:space="0" w:color="auto"/>
        <w:right w:val="none" w:sz="0" w:space="0" w:color="auto"/>
      </w:divBdr>
      <w:divsChild>
        <w:div w:id="1169370731">
          <w:marLeft w:val="0"/>
          <w:marRight w:val="0"/>
          <w:marTop w:val="0"/>
          <w:marBottom w:val="0"/>
          <w:divBdr>
            <w:top w:val="single" w:sz="2" w:space="0" w:color="E3E3E3"/>
            <w:left w:val="single" w:sz="2" w:space="0" w:color="E3E3E3"/>
            <w:bottom w:val="single" w:sz="2" w:space="0" w:color="E3E3E3"/>
            <w:right w:val="single" w:sz="2" w:space="0" w:color="E3E3E3"/>
          </w:divBdr>
          <w:divsChild>
            <w:div w:id="171841553">
              <w:marLeft w:val="0"/>
              <w:marRight w:val="0"/>
              <w:marTop w:val="0"/>
              <w:marBottom w:val="0"/>
              <w:divBdr>
                <w:top w:val="single" w:sz="2" w:space="0" w:color="E3E3E3"/>
                <w:left w:val="single" w:sz="2" w:space="0" w:color="E3E3E3"/>
                <w:bottom w:val="single" w:sz="2" w:space="0" w:color="E3E3E3"/>
                <w:right w:val="single" w:sz="2" w:space="0" w:color="E3E3E3"/>
              </w:divBdr>
              <w:divsChild>
                <w:div w:id="1866752170">
                  <w:marLeft w:val="0"/>
                  <w:marRight w:val="0"/>
                  <w:marTop w:val="0"/>
                  <w:marBottom w:val="0"/>
                  <w:divBdr>
                    <w:top w:val="single" w:sz="2" w:space="0" w:color="E3E3E3"/>
                    <w:left w:val="single" w:sz="2" w:space="0" w:color="E3E3E3"/>
                    <w:bottom w:val="single" w:sz="2" w:space="0" w:color="E3E3E3"/>
                    <w:right w:val="single" w:sz="2" w:space="0" w:color="E3E3E3"/>
                  </w:divBdr>
                  <w:divsChild>
                    <w:div w:id="660087173">
                      <w:marLeft w:val="0"/>
                      <w:marRight w:val="0"/>
                      <w:marTop w:val="0"/>
                      <w:marBottom w:val="0"/>
                      <w:divBdr>
                        <w:top w:val="single" w:sz="2" w:space="0" w:color="E3E3E3"/>
                        <w:left w:val="single" w:sz="2" w:space="0" w:color="E3E3E3"/>
                        <w:bottom w:val="single" w:sz="2" w:space="0" w:color="E3E3E3"/>
                        <w:right w:val="single" w:sz="2" w:space="0" w:color="E3E3E3"/>
                      </w:divBdr>
                      <w:divsChild>
                        <w:div w:id="208497913">
                          <w:marLeft w:val="0"/>
                          <w:marRight w:val="0"/>
                          <w:marTop w:val="0"/>
                          <w:marBottom w:val="0"/>
                          <w:divBdr>
                            <w:top w:val="single" w:sz="2" w:space="0" w:color="E3E3E3"/>
                            <w:left w:val="single" w:sz="2" w:space="0" w:color="E3E3E3"/>
                            <w:bottom w:val="single" w:sz="2" w:space="0" w:color="E3E3E3"/>
                            <w:right w:val="single" w:sz="2" w:space="0" w:color="E3E3E3"/>
                          </w:divBdr>
                          <w:divsChild>
                            <w:div w:id="133569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479210">
                                  <w:marLeft w:val="0"/>
                                  <w:marRight w:val="0"/>
                                  <w:marTop w:val="0"/>
                                  <w:marBottom w:val="0"/>
                                  <w:divBdr>
                                    <w:top w:val="single" w:sz="2" w:space="0" w:color="E3E3E3"/>
                                    <w:left w:val="single" w:sz="2" w:space="0" w:color="E3E3E3"/>
                                    <w:bottom w:val="single" w:sz="2" w:space="0" w:color="E3E3E3"/>
                                    <w:right w:val="single" w:sz="2" w:space="0" w:color="E3E3E3"/>
                                  </w:divBdr>
                                  <w:divsChild>
                                    <w:div w:id="809056782">
                                      <w:marLeft w:val="0"/>
                                      <w:marRight w:val="0"/>
                                      <w:marTop w:val="0"/>
                                      <w:marBottom w:val="0"/>
                                      <w:divBdr>
                                        <w:top w:val="single" w:sz="2" w:space="0" w:color="E3E3E3"/>
                                        <w:left w:val="single" w:sz="2" w:space="0" w:color="E3E3E3"/>
                                        <w:bottom w:val="single" w:sz="2" w:space="0" w:color="E3E3E3"/>
                                        <w:right w:val="single" w:sz="2" w:space="0" w:color="E3E3E3"/>
                                      </w:divBdr>
                                      <w:divsChild>
                                        <w:div w:id="1145586177">
                                          <w:marLeft w:val="0"/>
                                          <w:marRight w:val="0"/>
                                          <w:marTop w:val="0"/>
                                          <w:marBottom w:val="0"/>
                                          <w:divBdr>
                                            <w:top w:val="single" w:sz="2" w:space="0" w:color="E3E3E3"/>
                                            <w:left w:val="single" w:sz="2" w:space="0" w:color="E3E3E3"/>
                                            <w:bottom w:val="single" w:sz="2" w:space="0" w:color="E3E3E3"/>
                                            <w:right w:val="single" w:sz="2" w:space="0" w:color="E3E3E3"/>
                                          </w:divBdr>
                                          <w:divsChild>
                                            <w:div w:id="754129713">
                                              <w:marLeft w:val="0"/>
                                              <w:marRight w:val="0"/>
                                              <w:marTop w:val="0"/>
                                              <w:marBottom w:val="0"/>
                                              <w:divBdr>
                                                <w:top w:val="single" w:sz="2" w:space="0" w:color="E3E3E3"/>
                                                <w:left w:val="single" w:sz="2" w:space="0" w:color="E3E3E3"/>
                                                <w:bottom w:val="single" w:sz="2" w:space="0" w:color="E3E3E3"/>
                                                <w:right w:val="single" w:sz="2" w:space="0" w:color="E3E3E3"/>
                                              </w:divBdr>
                                              <w:divsChild>
                                                <w:div w:id="426389585">
                                                  <w:marLeft w:val="0"/>
                                                  <w:marRight w:val="0"/>
                                                  <w:marTop w:val="0"/>
                                                  <w:marBottom w:val="0"/>
                                                  <w:divBdr>
                                                    <w:top w:val="single" w:sz="2" w:space="0" w:color="E3E3E3"/>
                                                    <w:left w:val="single" w:sz="2" w:space="0" w:color="E3E3E3"/>
                                                    <w:bottom w:val="single" w:sz="2" w:space="0" w:color="E3E3E3"/>
                                                    <w:right w:val="single" w:sz="2" w:space="0" w:color="E3E3E3"/>
                                                  </w:divBdr>
                                                  <w:divsChild>
                                                    <w:div w:id="2123841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1982288">
          <w:marLeft w:val="0"/>
          <w:marRight w:val="0"/>
          <w:marTop w:val="0"/>
          <w:marBottom w:val="0"/>
          <w:divBdr>
            <w:top w:val="none" w:sz="0" w:space="0" w:color="auto"/>
            <w:left w:val="none" w:sz="0" w:space="0" w:color="auto"/>
            <w:bottom w:val="none" w:sz="0" w:space="0" w:color="auto"/>
            <w:right w:val="none" w:sz="0" w:space="0" w:color="auto"/>
          </w:divBdr>
        </w:div>
      </w:divsChild>
    </w:div>
    <w:div w:id="1025400526">
      <w:bodyDiv w:val="1"/>
      <w:marLeft w:val="0"/>
      <w:marRight w:val="0"/>
      <w:marTop w:val="0"/>
      <w:marBottom w:val="0"/>
      <w:divBdr>
        <w:top w:val="none" w:sz="0" w:space="0" w:color="auto"/>
        <w:left w:val="none" w:sz="0" w:space="0" w:color="auto"/>
        <w:bottom w:val="none" w:sz="0" w:space="0" w:color="auto"/>
        <w:right w:val="none" w:sz="0" w:space="0" w:color="auto"/>
      </w:divBdr>
    </w:div>
    <w:div w:id="1124273285">
      <w:bodyDiv w:val="1"/>
      <w:marLeft w:val="0"/>
      <w:marRight w:val="0"/>
      <w:marTop w:val="0"/>
      <w:marBottom w:val="0"/>
      <w:divBdr>
        <w:top w:val="none" w:sz="0" w:space="0" w:color="auto"/>
        <w:left w:val="none" w:sz="0" w:space="0" w:color="auto"/>
        <w:bottom w:val="none" w:sz="0" w:space="0" w:color="auto"/>
        <w:right w:val="none" w:sz="0" w:space="0" w:color="auto"/>
      </w:divBdr>
    </w:div>
    <w:div w:id="1215699753">
      <w:bodyDiv w:val="1"/>
      <w:marLeft w:val="0"/>
      <w:marRight w:val="0"/>
      <w:marTop w:val="0"/>
      <w:marBottom w:val="0"/>
      <w:divBdr>
        <w:top w:val="none" w:sz="0" w:space="0" w:color="auto"/>
        <w:left w:val="none" w:sz="0" w:space="0" w:color="auto"/>
        <w:bottom w:val="none" w:sz="0" w:space="0" w:color="auto"/>
        <w:right w:val="none" w:sz="0" w:space="0" w:color="auto"/>
      </w:divBdr>
    </w:div>
    <w:div w:id="1226646188">
      <w:bodyDiv w:val="1"/>
      <w:marLeft w:val="0"/>
      <w:marRight w:val="0"/>
      <w:marTop w:val="0"/>
      <w:marBottom w:val="0"/>
      <w:divBdr>
        <w:top w:val="none" w:sz="0" w:space="0" w:color="auto"/>
        <w:left w:val="none" w:sz="0" w:space="0" w:color="auto"/>
        <w:bottom w:val="none" w:sz="0" w:space="0" w:color="auto"/>
        <w:right w:val="none" w:sz="0" w:space="0" w:color="auto"/>
      </w:divBdr>
    </w:div>
    <w:div w:id="1255286068">
      <w:bodyDiv w:val="1"/>
      <w:marLeft w:val="0"/>
      <w:marRight w:val="0"/>
      <w:marTop w:val="0"/>
      <w:marBottom w:val="0"/>
      <w:divBdr>
        <w:top w:val="none" w:sz="0" w:space="0" w:color="auto"/>
        <w:left w:val="none" w:sz="0" w:space="0" w:color="auto"/>
        <w:bottom w:val="none" w:sz="0" w:space="0" w:color="auto"/>
        <w:right w:val="none" w:sz="0" w:space="0" w:color="auto"/>
      </w:divBdr>
    </w:div>
    <w:div w:id="1303652158">
      <w:bodyDiv w:val="1"/>
      <w:marLeft w:val="0"/>
      <w:marRight w:val="0"/>
      <w:marTop w:val="0"/>
      <w:marBottom w:val="0"/>
      <w:divBdr>
        <w:top w:val="none" w:sz="0" w:space="0" w:color="auto"/>
        <w:left w:val="none" w:sz="0" w:space="0" w:color="auto"/>
        <w:bottom w:val="none" w:sz="0" w:space="0" w:color="auto"/>
        <w:right w:val="none" w:sz="0" w:space="0" w:color="auto"/>
      </w:divBdr>
    </w:div>
    <w:div w:id="1556622281">
      <w:bodyDiv w:val="1"/>
      <w:marLeft w:val="0"/>
      <w:marRight w:val="0"/>
      <w:marTop w:val="0"/>
      <w:marBottom w:val="0"/>
      <w:divBdr>
        <w:top w:val="none" w:sz="0" w:space="0" w:color="auto"/>
        <w:left w:val="none" w:sz="0" w:space="0" w:color="auto"/>
        <w:bottom w:val="none" w:sz="0" w:space="0" w:color="auto"/>
        <w:right w:val="none" w:sz="0" w:space="0" w:color="auto"/>
      </w:divBdr>
    </w:div>
    <w:div w:id="1591308436">
      <w:bodyDiv w:val="1"/>
      <w:marLeft w:val="0"/>
      <w:marRight w:val="0"/>
      <w:marTop w:val="0"/>
      <w:marBottom w:val="0"/>
      <w:divBdr>
        <w:top w:val="none" w:sz="0" w:space="0" w:color="auto"/>
        <w:left w:val="none" w:sz="0" w:space="0" w:color="auto"/>
        <w:bottom w:val="none" w:sz="0" w:space="0" w:color="auto"/>
        <w:right w:val="none" w:sz="0" w:space="0" w:color="auto"/>
      </w:divBdr>
    </w:div>
    <w:div w:id="1668704009">
      <w:bodyDiv w:val="1"/>
      <w:marLeft w:val="0"/>
      <w:marRight w:val="0"/>
      <w:marTop w:val="0"/>
      <w:marBottom w:val="0"/>
      <w:divBdr>
        <w:top w:val="none" w:sz="0" w:space="0" w:color="auto"/>
        <w:left w:val="none" w:sz="0" w:space="0" w:color="auto"/>
        <w:bottom w:val="none" w:sz="0" w:space="0" w:color="auto"/>
        <w:right w:val="none" w:sz="0" w:space="0" w:color="auto"/>
      </w:divBdr>
    </w:div>
    <w:div w:id="1672558158">
      <w:bodyDiv w:val="1"/>
      <w:marLeft w:val="0"/>
      <w:marRight w:val="0"/>
      <w:marTop w:val="0"/>
      <w:marBottom w:val="0"/>
      <w:divBdr>
        <w:top w:val="none" w:sz="0" w:space="0" w:color="auto"/>
        <w:left w:val="none" w:sz="0" w:space="0" w:color="auto"/>
        <w:bottom w:val="none" w:sz="0" w:space="0" w:color="auto"/>
        <w:right w:val="none" w:sz="0" w:space="0" w:color="auto"/>
      </w:divBdr>
    </w:div>
    <w:div w:id="1768426949">
      <w:bodyDiv w:val="1"/>
      <w:marLeft w:val="0"/>
      <w:marRight w:val="0"/>
      <w:marTop w:val="0"/>
      <w:marBottom w:val="0"/>
      <w:divBdr>
        <w:top w:val="none" w:sz="0" w:space="0" w:color="auto"/>
        <w:left w:val="none" w:sz="0" w:space="0" w:color="auto"/>
        <w:bottom w:val="none" w:sz="0" w:space="0" w:color="auto"/>
        <w:right w:val="none" w:sz="0" w:space="0" w:color="auto"/>
      </w:divBdr>
    </w:div>
    <w:div w:id="1828285442">
      <w:bodyDiv w:val="1"/>
      <w:marLeft w:val="0"/>
      <w:marRight w:val="0"/>
      <w:marTop w:val="0"/>
      <w:marBottom w:val="0"/>
      <w:divBdr>
        <w:top w:val="none" w:sz="0" w:space="0" w:color="auto"/>
        <w:left w:val="none" w:sz="0" w:space="0" w:color="auto"/>
        <w:bottom w:val="none" w:sz="0" w:space="0" w:color="auto"/>
        <w:right w:val="none" w:sz="0" w:space="0" w:color="auto"/>
      </w:divBdr>
    </w:div>
    <w:div w:id="1863737113">
      <w:bodyDiv w:val="1"/>
      <w:marLeft w:val="0"/>
      <w:marRight w:val="0"/>
      <w:marTop w:val="0"/>
      <w:marBottom w:val="0"/>
      <w:divBdr>
        <w:top w:val="none" w:sz="0" w:space="0" w:color="auto"/>
        <w:left w:val="none" w:sz="0" w:space="0" w:color="auto"/>
        <w:bottom w:val="none" w:sz="0" w:space="0" w:color="auto"/>
        <w:right w:val="none" w:sz="0" w:space="0" w:color="auto"/>
      </w:divBdr>
    </w:div>
    <w:div w:id="1938362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16</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Ejikeme Justine Ekwem</dc:creator>
  <cp:lastModifiedBy>Justine Ekwem</cp:lastModifiedBy>
  <cp:revision>6</cp:revision>
  <dcterms:created xsi:type="dcterms:W3CDTF">2024-03-15T12:41:00Z</dcterms:created>
  <dcterms:modified xsi:type="dcterms:W3CDTF">2024-03-22T09:14:00Z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C11BDCCE3209422191B0AD7C91130860</vt:lpwstr>
  </property>
</Properties>
</file>