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Министерство науки и высшего образования Российской Федерации</w:t>
      </w:r>
    </w:p>
    <w:p w14:paraId="0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ФГБОУ ВО Ульяновский государственный технический университет</w:t>
      </w:r>
    </w:p>
    <w:p w14:paraId="0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after="0" w:line="240" w:lineRule="auto"/>
        <w:ind w:hanging="2" w:left="0"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Кафедра «Вычислительная техника»</w:t>
      </w:r>
    </w:p>
    <w:p w14:paraId="0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B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2" w:left="0"/>
        <w:rPr>
          <w:color w:val="000000"/>
        </w:rPr>
      </w:pPr>
    </w:p>
    <w:p w14:paraId="0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5" w:left="3"/>
        <w:jc w:val="center"/>
        <w:rPr>
          <w:rFonts w:ascii="Times New Roman" w:hAnsi="Times New Roman"/>
          <w:color w:val="000000"/>
          <w:sz w:val="52"/>
        </w:rPr>
      </w:pPr>
      <w:r>
        <w:rPr>
          <w:rFonts w:ascii="Times New Roman" w:hAnsi="Times New Roman"/>
          <w:color w:val="000000"/>
          <w:sz w:val="52"/>
        </w:rPr>
        <w:t>Лабораторная работа №</w:t>
      </w:r>
      <w:r>
        <w:rPr>
          <w:rFonts w:ascii="Times New Roman" w:hAnsi="Times New Roman"/>
          <w:color w:val="000000"/>
          <w:sz w:val="52"/>
        </w:rPr>
        <w:t>3</w:t>
      </w:r>
    </w:p>
    <w:p w14:paraId="0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«</w:t>
      </w:r>
      <w:r>
        <w:rPr>
          <w:rFonts w:ascii="Times New Roman" w:hAnsi="Times New Roman"/>
          <w:color w:val="000000"/>
          <w:sz w:val="28"/>
        </w:rPr>
        <w:t>Онтологические модели</w:t>
      </w:r>
      <w:r>
        <w:rPr>
          <w:rFonts w:ascii="Times New Roman" w:hAnsi="Times New Roman"/>
          <w:color w:val="000000"/>
          <w:sz w:val="28"/>
        </w:rPr>
        <w:t>»</w:t>
      </w:r>
    </w:p>
    <w:p w14:paraId="1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</w:p>
    <w:p w14:paraId="1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</w:p>
    <w:p w14:paraId="1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</w:p>
    <w:p w14:paraId="1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Выполнил студент</w:t>
      </w:r>
    </w:p>
    <w:p w14:paraId="1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группы ИВТ</w:t>
      </w:r>
      <w:r>
        <w:rPr>
          <w:rFonts w:ascii="Times New Roman" w:hAnsi="Times New Roman"/>
          <w:color w:val="000000"/>
          <w:sz w:val="28"/>
        </w:rPr>
        <w:t>ИИ</w:t>
      </w:r>
      <w:r>
        <w:rPr>
          <w:rFonts w:ascii="Times New Roman" w:hAnsi="Times New Roman"/>
          <w:color w:val="000000"/>
          <w:sz w:val="28"/>
        </w:rPr>
        <w:t>бд-1</w:t>
      </w:r>
      <w:r>
        <w:rPr>
          <w:rFonts w:ascii="Times New Roman" w:hAnsi="Times New Roman"/>
          <w:color w:val="000000"/>
          <w:sz w:val="28"/>
        </w:rPr>
        <w:t>3</w:t>
      </w:r>
    </w:p>
    <w:p w14:paraId="1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Малышкин Д.Ю.</w:t>
      </w:r>
    </w:p>
    <w:p w14:paraId="1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B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right"/>
        <w:rPr>
          <w:rFonts w:ascii="Times New Roman" w:hAnsi="Times New Roman"/>
          <w:color w:val="000000"/>
          <w:sz w:val="28"/>
        </w:rPr>
      </w:pPr>
    </w:p>
    <w:p w14:paraId="1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</w:p>
    <w:p w14:paraId="1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hanging="3" w:left="1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Ульяновск, 20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color w:val="000000"/>
          <w:sz w:val="28"/>
        </w:rPr>
        <w:t>6</w:t>
      </w:r>
    </w:p>
    <w:p w14:paraId="1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1. Цель:</w:t>
      </w:r>
    </w:p>
    <w:p w14:paraId="2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Целью данной лабораторной работы является проектирование онтологической модели предметной области «Компоненты электрогитары», ее практическая реализация в среде онтологического инжиниринга Protégé с применением механизмов логического вывода, а также визуализация структуры модели в графическом редакторе Miro.</w:t>
      </w:r>
    </w:p>
    <w:p w14:paraId="2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sz w:val="28"/>
        </w:rPr>
      </w:pPr>
    </w:p>
    <w:p w14:paraId="2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2</w:t>
      </w:r>
      <w:r>
        <w:rPr>
          <w:rFonts w:ascii="Times New Roman" w:hAnsi="Times New Roman"/>
          <w:b w:val="1"/>
          <w:color w:val="000000"/>
          <w:sz w:val="28"/>
        </w:rPr>
        <w:t>. Структурное описание</w:t>
      </w:r>
      <w:r>
        <w:rPr>
          <w:rFonts w:ascii="Times New Roman" w:hAnsi="Times New Roman"/>
          <w:b w:val="1"/>
          <w:color w:val="000000"/>
          <w:sz w:val="28"/>
        </w:rPr>
        <w:t xml:space="preserve"> онтологии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2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</w:p>
    <w:p w14:paraId="2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Элементы системы</w:t>
      </w:r>
    </w:p>
    <w:p w14:paraId="25000000">
      <w:p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Модель построена на основе иерархии классов, описывающей составные части электрогитары:</w:t>
      </w:r>
    </w:p>
    <w:p w14:paraId="26000000">
      <w:pPr>
        <w:numPr>
          <w:numId w:val="1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«GuitarComponent» (Компонент гитары) – базовый (корневой) класс, объединяющий все элементы модели.</w:t>
      </w:r>
    </w:p>
    <w:p w14:paraId="27000000">
      <w:pPr>
        <w:numPr>
          <w:numId w:val="1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«ElectronicPart» (Электронный компонент) – подкласс, включающий элементы, отвечающие за формирование и передачу звукового сигнала. Экземпляры: Magnet (Магнит), SingleCoil (Сингл), PickupAssembly (Звукосниматель в сборе).</w:t>
      </w:r>
    </w:p>
    <w:p w14:paraId="28000000">
      <w:pPr>
        <w:numPr>
          <w:numId w:val="1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«HardwarePart» (Фурнитура) – подкласс, включающий механические и крепежные элементы. Экземпляры: Saddle (Седло), Bridge (Бридж), GuitarBody (Корпус гитары).</w:t>
      </w:r>
    </w:p>
    <w:p w14:paraId="2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lef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(Примечание: класс GuitarComponent также содержит все 6 перечисленных экземпляров в силу механизма наследования, что удовлетворяет требованию наличия минимум 2 экземпляров у каждого класса).</w:t>
      </w:r>
    </w:p>
    <w:p w14:paraId="2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left"/>
        <w:rPr>
          <w:rFonts w:ascii="Times New Roman" w:hAnsi="Times New Roman"/>
          <w:sz w:val="28"/>
        </w:rPr>
      </w:pPr>
    </w:p>
    <w:p w14:paraId="2B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Связи в системе</w:t>
      </w:r>
    </w:p>
    <w:p w14:paraId="2C000000">
      <w:p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описания атрибутов и отношений между элементами определены следующие свойства:</w:t>
      </w:r>
    </w:p>
    <w:p w14:paraId="2D000000">
      <w:pPr>
        <w:numPr>
          <w:numId w:val="2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Свойство данных (Data Property): hasName (имеет имя). Domain: GuitarComponent, Range: xsd:string. Позволяет задавать текстовое наименование для любого компонента.</w:t>
      </w:r>
    </w:p>
    <w:p w14:paraId="2E000000">
      <w:pPr>
        <w:numPr>
          <w:numId w:val="2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Объектные свойства (Object Properties):</w:t>
      </w:r>
    </w:p>
    <w:p w14:paraId="2F000000">
      <w:pPr>
        <w:numPr>
          <w:numId w:val="3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isDirectPartOf (является непосредственной частью) – описывает прямую физическую сборку узла.</w:t>
      </w:r>
    </w:p>
    <w:p w14:paraId="30000000">
      <w:pPr>
        <w:numPr>
          <w:numId w:val="3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isPartOf (является частью) – описывает общую принадлежность к узлу (включая вложенные уровни).</w:t>
      </w:r>
    </w:p>
    <w:p w14:paraId="31000000">
      <w:pPr>
        <w:widowControl w:val="1"/>
        <w:numPr>
          <w:numId w:val="3"/>
        </w:numPr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hasPart (имеет часть) – описывает обратную связь (из чего состоит узел).</w:t>
      </w:r>
    </w:p>
    <w:p w14:paraId="3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</w:p>
    <w:p w14:paraId="33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Аксиомы и правила логического вывода</w:t>
      </w:r>
    </w:p>
    <w:p w14:paraId="34000000">
      <w:p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обеспечения автоматического вывода новых фактов без их ручного прописывания использованы следующие аксиомы OWL (вместо нестабильного в текущей версии Protégé плагина SWRLTab):</w:t>
      </w:r>
    </w:p>
    <w:p w14:paraId="35000000">
      <w:pPr>
        <w:numPr>
          <w:numId w:val="4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Аксиома непересекаемости (Disjoint Classes): Классы ElectronicPart и HardwarePart объявлены непересекающимися. Один и тот же экземпляр не может одновременно являться электронным компонентом и фурнитурой.</w:t>
      </w:r>
    </w:p>
    <w:p w14:paraId="36000000">
      <w:pPr>
        <w:numPr>
          <w:numId w:val="4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Правило иерархии свойств (SubPropertyOf): Свойство isDirectPartOf объявлено подсвойством (SubPropertyOf) свойства isPartOf. Любой факт о непосредственной части автоматически интерпретируется как факт о части в общем смысле.</w:t>
      </w:r>
    </w:p>
    <w:p w14:paraId="37000000">
      <w:pPr>
        <w:numPr>
          <w:numId w:val="4"/>
        </w:numP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Правило транзитивности (Transitive): Свойство isPartOf объявлено транзитивным. Если A является частью B, а B является частью C, система автоматически выводит, что A является частью C.</w:t>
      </w:r>
    </w:p>
    <w:p w14:paraId="38000000">
      <w:pPr>
        <w:widowControl w:val="1"/>
        <w:numPr>
          <w:numId w:val="4"/>
        </w:numPr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sz w:val="28"/>
        </w:rPr>
        <w:t>Правило инверсии (InverseOf): Свойство hasPart объявлено обратным (InverseOf) к свойству isPartOf. При наличии связи A isPartOf B система автоматически генерирует обратную связь B hasPart A.</w:t>
      </w:r>
    </w:p>
    <w:p w14:paraId="3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</w:p>
    <w:p w14:paraId="3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jc w:val="left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3</w:t>
      </w:r>
      <w:r>
        <w:rPr>
          <w:rFonts w:ascii="Times New Roman" w:hAnsi="Times New Roman"/>
          <w:b w:val="1"/>
          <w:color w:val="000000"/>
          <w:sz w:val="28"/>
        </w:rPr>
        <w:t>. Представленные скриншоты</w:t>
      </w:r>
      <w:r>
        <w:rPr>
          <w:rFonts w:ascii="Times New Roman" w:hAnsi="Times New Roman"/>
          <w:b w:val="1"/>
          <w:color w:val="000000"/>
          <w:sz w:val="28"/>
        </w:rPr>
        <w:t xml:space="preserve"> о проделанной работе</w:t>
      </w:r>
      <w:r>
        <w:rPr>
          <w:rFonts w:ascii="Times New Roman" w:hAnsi="Times New Roman"/>
          <w:b w:val="1"/>
          <w:color w:val="000000"/>
          <w:sz w:val="28"/>
        </w:rPr>
        <w:t xml:space="preserve"> из </w:t>
      </w:r>
      <w:r>
        <w:rPr>
          <w:rFonts w:ascii="Times New Roman" w:hAnsi="Times New Roman"/>
          <w:b w:val="1"/>
          <w:color w:val="000000"/>
          <w:sz w:val="28"/>
        </w:rPr>
        <w:t>prot</w:t>
      </w:r>
      <w:r>
        <w:rPr>
          <w:rFonts w:ascii="Times New Roman" w:hAnsi="Times New Roman"/>
          <w:b w:val="1"/>
          <w:color w:val="000000"/>
          <w:sz w:val="28"/>
        </w:rPr>
        <w:t>é</w:t>
      </w:r>
      <w:r>
        <w:rPr>
          <w:rFonts w:ascii="Times New Roman" w:hAnsi="Times New Roman"/>
          <w:b w:val="1"/>
          <w:color w:val="000000"/>
          <w:sz w:val="28"/>
        </w:rPr>
        <w:t>g</w:t>
      </w:r>
      <w:r>
        <w:rPr>
          <w:rFonts w:ascii="Times New Roman" w:hAnsi="Times New Roman"/>
          <w:b w:val="1"/>
          <w:color w:val="000000"/>
          <w:sz w:val="28"/>
        </w:rPr>
        <w:t>é и Miro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3B000000">
      <w:pPr>
        <w:widowControl w:val="1"/>
        <w:numPr>
          <w:numId w:val="5"/>
        </w:numPr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b w:val="0"/>
          <w:color w:val="000000"/>
          <w:sz w:val="28"/>
        </w:rPr>
      </w:pPr>
      <w:r>
        <w:rPr>
          <w:rFonts w:ascii="Times New Roman" w:hAnsi="Times New Roman"/>
          <w:b w:val="0"/>
          <w:color w:val="000000"/>
          <w:sz w:val="28"/>
        </w:rPr>
        <w:t>Реализация в Protege</w:t>
      </w:r>
    </w:p>
    <w:p w14:paraId="3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b w:val="0"/>
          <w:color w:val="000000"/>
          <w:sz w:val="28"/>
        </w:rPr>
      </w:pPr>
      <w:r>
        <w:drawing>
          <wp:inline>
            <wp:extent cx="6614794" cy="4113865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614794" cy="41138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</w:pPr>
      <w:r>
        <w:drawing>
          <wp:inline>
            <wp:extent cx="6595746" cy="1352147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595746" cy="13521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</w:pPr>
      <w:r>
        <w:drawing>
          <wp:inline>
            <wp:extent cx="6595744" cy="4323396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595744" cy="43233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</w:pPr>
      <w:r>
        <w:drawing>
          <wp:inline>
            <wp:extent cx="6757669" cy="1853826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757669" cy="18538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000000">
      <w:pPr>
        <w:widowControl w:val="1"/>
        <w:numPr>
          <w:numId w:val="5"/>
        </w:numPr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Визуализация в Miro</w:t>
      </w:r>
    </w:p>
    <w:p w14:paraId="41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Структурная диаграмма ("Чертеж") — Диаграмма классов</w:t>
      </w:r>
    </w:p>
    <w:p w14:paraId="4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  <w:r>
        <w:drawing>
          <wp:inline>
            <wp:extent cx="3980857" cy="2076121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3980857" cy="20761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Иерархическая диаграмма ("Масштаб") — Диаграмма объектов</w:t>
      </w:r>
    </w:p>
    <w:p w14:paraId="44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</w:pPr>
      <w:r>
        <w:drawing>
          <wp:inline>
            <wp:extent cx="6671944" cy="5083355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671944" cy="50833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Функциональная диаграмма ("Предназначение") — Use Case</w:t>
      </w:r>
    </w:p>
    <w:p w14:paraId="46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</w:pPr>
      <w:r>
        <w:drawing>
          <wp:inline>
            <wp:extent cx="3256919" cy="3180734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3256919" cy="31807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Процессуальная диаграмма ("Кино") — Диаграмма последовательностей</w:t>
      </w:r>
    </w:p>
    <w:p w14:paraId="48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left"/>
      </w:pPr>
      <w:r>
        <w:drawing>
          <wp:inline>
            <wp:extent cx="6300469" cy="3713386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300469" cy="37133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color w:val="000000"/>
          <w:sz w:val="28"/>
        </w:rPr>
      </w:pPr>
    </w:p>
    <w:p w14:paraId="4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0" w:left="0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4</w:t>
      </w:r>
      <w:r>
        <w:rPr>
          <w:rFonts w:ascii="Times New Roman" w:hAnsi="Times New Roman"/>
          <w:b w:val="1"/>
          <w:color w:val="000000"/>
          <w:sz w:val="28"/>
        </w:rPr>
        <w:t xml:space="preserve">. </w:t>
      </w:r>
      <w:r>
        <w:rPr>
          <w:rFonts w:ascii="Times New Roman" w:hAnsi="Times New Roman"/>
          <w:b w:val="1"/>
          <w:color w:val="000000"/>
          <w:sz w:val="28"/>
        </w:rPr>
        <w:t>Вывод</w:t>
      </w:r>
      <w:r>
        <w:rPr>
          <w:rFonts w:ascii="Times New Roman" w:hAnsi="Times New Roman"/>
          <w:b w:val="1"/>
          <w:color w:val="000000"/>
          <w:sz w:val="28"/>
        </w:rPr>
        <w:t>:</w:t>
      </w:r>
    </w:p>
    <w:p w14:paraId="4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Разработанная онтологическая модель успешно формализует предметную область сборки электрогитары. Она наглядно отображает иерархическую структуру компонентов от отдельных деталей до крупных узлов. Использование аксиом OWL (SubPropertyOf, Transitive, InverseOf) в связке с reasoner Pellet позволило реализовать автоматический логический вывод вложенных связей, что полностью удовлетворяет требованиям к моделированию.</w:t>
      </w:r>
    </w:p>
    <w:sectPr>
      <w:pgSz w:h="16838" w:orient="portrait" w:w="11906"/>
      <w:pgMar w:bottom="1134" w:footer="708" w:gutter="0" w:header="708" w:left="1134" w:right="850" w:top="1134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">
    <w:lvl w:ilvl="0">
      <w:start w:val="1"/>
      <w:numFmt w:val="decimal"/>
      <w:lvlText w:val="%1."/>
      <w:pPr>
        <w:widowControl w:val="1"/>
        <w:ind w:hanging="360" w:left="360"/>
      </w:pPr>
    </w:lvl>
    <w:lvl w:ilvl="1">
      <w:start w:val="1"/>
      <w:numFmt w:val="decimal"/>
      <w:lvlText w:val="%1.%2."/>
      <w:pPr>
        <w:widowControl w:val="1"/>
        <w:ind w:hanging="430" w:left="790"/>
      </w:pPr>
    </w:lvl>
    <w:lvl w:ilvl="2">
      <w:start w:val="1"/>
      <w:numFmt w:val="decimal"/>
      <w:lvlText w:val="%1.%2.%3."/>
      <w:pPr>
        <w:widowControl w:val="1"/>
        <w:ind w:hanging="505" w:left="1225"/>
      </w:pPr>
    </w:lvl>
    <w:lvl w:ilvl="3">
      <w:start w:val="1"/>
      <w:numFmt w:val="decimal"/>
      <w:lvlText w:val="%1.%2.%3.%4."/>
      <w:pPr>
        <w:widowControl w:val="1"/>
        <w:ind w:hanging="650" w:left="1730"/>
      </w:pPr>
    </w:lvl>
    <w:lvl w:ilvl="4">
      <w:start w:val="1"/>
      <w:numFmt w:val="decimal"/>
      <w:lvlText w:val="%1.%2.%3.%4.%5."/>
      <w:pPr>
        <w:widowControl w:val="1"/>
        <w:ind w:hanging="790" w:left="2230"/>
      </w:pPr>
    </w:lvl>
    <w:lvl w:ilvl="5">
      <w:start w:val="1"/>
      <w:numFmt w:val="decimal"/>
      <w:lvlText w:val="%1.%2.%3.%4.%5.%6."/>
      <w:pPr>
        <w:widowControl w:val="1"/>
        <w:ind w:hanging="935" w:left="2735"/>
      </w:pPr>
    </w:lvl>
    <w:lvl w:ilvl="6">
      <w:start w:val="1"/>
      <w:numFmt w:val="decimal"/>
      <w:lvlText w:val="%1.%2.%3.%4.%5.%6.%7."/>
      <w:pPr>
        <w:widowControl w:val="1"/>
        <w:ind w:hanging="1080" w:left="3240"/>
      </w:pPr>
    </w:lvl>
    <w:lvl w:ilvl="7">
      <w:start w:val="1"/>
      <w:numFmt w:val="decimal"/>
      <w:lvlText w:val="%1.%2.%3.%4.%5.%6.%7.%8."/>
      <w:pPr>
        <w:widowControl w:val="1"/>
        <w:ind w:hanging="1225" w:left="3745"/>
      </w:pPr>
    </w:lvl>
    <w:lvl w:ilvl="8">
      <w:start w:val="1"/>
      <w:numFmt w:val="decimal"/>
      <w:lvlText w:val="%1.%2.%3.%4.%5.%6.%7.%8.%9."/>
      <w:pPr>
        <w:widowControl w:val="1"/>
        <w:ind w:hanging="1440" w:left="4320"/>
      </w:p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after="160" w:line="264" w:lineRule="auto"/>
      <w:ind w:hanging="1" w:left="-1"/>
      <w:outlineLvl w:val="0"/>
    </w:pPr>
    <w:rPr>
      <w:sz w:val="22"/>
    </w:rPr>
  </w:style>
  <w:style w:default="1" w:styleId="Style_1_ch" w:type="character">
    <w:name w:val="Normal"/>
    <w:link w:val="Style_1"/>
    <w:rPr>
      <w:sz w:val="22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7" w:type="paragraph">
    <w:name w:val="Endnote"/>
    <w:link w:val="Style_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basedOn w:val="Style_1"/>
    <w:next w:val="Style_1"/>
    <w:link w:val="Style_8_ch"/>
    <w:uiPriority w:val="9"/>
    <w:qFormat/>
    <w:pPr>
      <w:keepNext w:val="1"/>
      <w:keepLines w:val="1"/>
      <w:widowControl w:val="1"/>
      <w:spacing w:after="80" w:before="280"/>
      <w:ind/>
      <w:outlineLvl w:val="2"/>
    </w:pPr>
    <w:rPr>
      <w:b w:val="1"/>
      <w:sz w:val="28"/>
    </w:rPr>
  </w:style>
  <w:style w:styleId="Style_8_ch" w:type="character">
    <w:name w:val="heading 3"/>
    <w:basedOn w:val="Style_1_ch"/>
    <w:link w:val="Style_8"/>
    <w:rPr>
      <w:b w:val="1"/>
      <w:sz w:val="28"/>
    </w:rPr>
  </w:style>
  <w:style w:styleId="Style_9" w:type="paragraph">
    <w:name w:val="Balloon Text"/>
    <w:basedOn w:val="Style_1"/>
    <w:link w:val="Style_9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9_ch" w:type="character">
    <w:name w:val="Balloon Text"/>
    <w:basedOn w:val="Style_1_ch"/>
    <w:link w:val="Style_9"/>
    <w:rPr>
      <w:rFonts w:ascii="Segoe UI" w:hAnsi="Segoe UI"/>
      <w:sz w:val="18"/>
    </w:rPr>
  </w:style>
  <w:style w:styleId="Style_10" w:type="paragraph">
    <w:name w:val="toc 3"/>
    <w:next w:val="Style_1"/>
    <w:link w:val="Style_10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List Paragraph"/>
    <w:basedOn w:val="Style_1"/>
    <w:link w:val="Style_11_ch"/>
    <w:pPr>
      <w:widowControl w:val="1"/>
      <w:ind w:left="720"/>
      <w:contextualSpacing w:val="1"/>
    </w:pPr>
  </w:style>
  <w:style w:styleId="Style_11_ch" w:type="character">
    <w:name w:val="List Paragraph"/>
    <w:basedOn w:val="Style_1_ch"/>
    <w:link w:val="Style_11"/>
  </w:style>
  <w:style w:styleId="Style_12" w:type="paragraph">
    <w:name w:val="heading 5"/>
    <w:basedOn w:val="Style_1"/>
    <w:next w:val="Style_1"/>
    <w:link w:val="Style_12_ch"/>
    <w:uiPriority w:val="9"/>
    <w:qFormat/>
    <w:pPr>
      <w:keepNext w:val="1"/>
      <w:keepLines w:val="1"/>
      <w:widowControl w:val="1"/>
      <w:spacing w:after="40" w:before="220"/>
      <w:ind/>
      <w:outlineLvl w:val="4"/>
    </w:pPr>
    <w:rPr>
      <w:b w:val="1"/>
    </w:rPr>
  </w:style>
  <w:style w:styleId="Style_12_ch" w:type="character">
    <w:name w:val="heading 5"/>
    <w:basedOn w:val="Style_1_ch"/>
    <w:link w:val="Style_12"/>
    <w:rPr>
      <w:b w:val="1"/>
    </w:rPr>
  </w:style>
  <w:style w:styleId="Style_13" w:type="paragraph">
    <w:name w:val="heading 1"/>
    <w:basedOn w:val="Style_1"/>
    <w:next w:val="Style_1"/>
    <w:link w:val="Style_13_ch"/>
    <w:uiPriority w:val="9"/>
    <w:qFormat/>
    <w:pPr>
      <w:keepNext w:val="1"/>
      <w:keepLines w:val="1"/>
      <w:widowControl w:val="1"/>
      <w:spacing w:after="120" w:before="480"/>
      <w:ind/>
      <w:outlineLvl w:val="0"/>
    </w:pPr>
    <w:rPr>
      <w:b w:val="1"/>
      <w:sz w:val="48"/>
    </w:rPr>
  </w:style>
  <w:style w:styleId="Style_13_ch" w:type="character">
    <w:name w:val="heading 1"/>
    <w:basedOn w:val="Style_1_ch"/>
    <w:link w:val="Style_13"/>
    <w:rPr>
      <w:b w:val="1"/>
      <w:sz w:val="48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1"/>
    <w:link w:val="Style_16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1"/>
    <w:link w:val="Style_18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1"/>
    <w:link w:val="Style_19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1"/>
    <w:link w:val="Style_20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basedOn w:val="Style_1"/>
    <w:next w:val="Style_1"/>
    <w:link w:val="Style_21_ch"/>
    <w:uiPriority w:val="11"/>
    <w:qFormat/>
    <w:pPr>
      <w:keepNext w:val="1"/>
      <w:keepLines w:val="1"/>
      <w:widowControl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1_ch" w:type="character">
    <w:name w:val="Subtitle"/>
    <w:basedOn w:val="Style_1_ch"/>
    <w:link w:val="Style_21"/>
    <w:rPr>
      <w:rFonts w:ascii="Georgia" w:hAnsi="Georgia"/>
      <w:i w:val="1"/>
      <w:color w:val="666666"/>
      <w:sz w:val="48"/>
    </w:rPr>
  </w:style>
  <w:style w:styleId="Style_22" w:type="paragraph">
    <w:name w:val="Title"/>
    <w:basedOn w:val="Style_1"/>
    <w:next w:val="Style_1"/>
    <w:link w:val="Style_22_ch"/>
    <w:uiPriority w:val="10"/>
    <w:qFormat/>
    <w:pPr>
      <w:keepNext w:val="1"/>
      <w:keepLines w:val="1"/>
      <w:widowControl w:val="1"/>
      <w:spacing w:after="120" w:before="480"/>
      <w:ind/>
    </w:pPr>
    <w:rPr>
      <w:b w:val="1"/>
      <w:sz w:val="72"/>
    </w:rPr>
  </w:style>
  <w:style w:styleId="Style_22_ch" w:type="character">
    <w:name w:val="Title"/>
    <w:basedOn w:val="Style_1_ch"/>
    <w:link w:val="Style_22"/>
    <w:rPr>
      <w:b w:val="1"/>
      <w:sz w:val="72"/>
    </w:rPr>
  </w:style>
  <w:style w:styleId="Style_23" w:type="paragraph">
    <w:name w:val="heading 4"/>
    <w:basedOn w:val="Style_1"/>
    <w:next w:val="Style_1"/>
    <w:link w:val="Style_23_ch"/>
    <w:uiPriority w:val="9"/>
    <w:qFormat/>
    <w:pPr>
      <w:keepNext w:val="1"/>
      <w:keepLines w:val="1"/>
      <w:widowControl w:val="1"/>
      <w:spacing w:after="40" w:before="240"/>
      <w:ind/>
      <w:outlineLvl w:val="3"/>
    </w:pPr>
    <w:rPr>
      <w:b w:val="1"/>
      <w:sz w:val="24"/>
    </w:rPr>
  </w:style>
  <w:style w:styleId="Style_23_ch" w:type="character">
    <w:name w:val="heading 4"/>
    <w:basedOn w:val="Style_1_ch"/>
    <w:link w:val="Style_23"/>
    <w:rPr>
      <w:b w:val="1"/>
      <w:sz w:val="24"/>
    </w:rPr>
  </w:style>
  <w:style w:styleId="Style_24" w:type="paragraph">
    <w:name w:val="heading 2"/>
    <w:basedOn w:val="Style_1"/>
    <w:next w:val="Style_1"/>
    <w:link w:val="Style_24_ch"/>
    <w:uiPriority w:val="9"/>
    <w:qFormat/>
    <w:pPr>
      <w:keepNext w:val="1"/>
      <w:keepLines w:val="1"/>
      <w:widowControl w:val="1"/>
      <w:spacing w:after="80" w:before="360"/>
      <w:ind/>
      <w:outlineLvl w:val="1"/>
    </w:pPr>
    <w:rPr>
      <w:b w:val="1"/>
      <w:sz w:val="36"/>
    </w:rPr>
  </w:style>
  <w:style w:styleId="Style_24_ch" w:type="character">
    <w:name w:val="heading 2"/>
    <w:basedOn w:val="Style_1_ch"/>
    <w:link w:val="Style_24"/>
    <w:rPr>
      <w:b w:val="1"/>
      <w:sz w:val="36"/>
    </w:rPr>
  </w:style>
  <w:style w:styleId="Style_25" w:type="paragraph">
    <w:name w:val="heading 6"/>
    <w:basedOn w:val="Style_1"/>
    <w:next w:val="Style_1"/>
    <w:link w:val="Style_25_ch"/>
    <w:uiPriority w:val="9"/>
    <w:qFormat/>
    <w:pPr>
      <w:keepNext w:val="1"/>
      <w:keepLines w:val="1"/>
      <w:widowControl w:val="1"/>
      <w:spacing w:after="40" w:before="200"/>
      <w:ind/>
      <w:outlineLvl w:val="5"/>
    </w:pPr>
    <w:rPr>
      <w:b w:val="1"/>
      <w:sz w:val="20"/>
    </w:rPr>
  </w:style>
  <w:style w:styleId="Style_25_ch" w:type="character">
    <w:name w:val="heading 6"/>
    <w:basedOn w:val="Style_1_ch"/>
    <w:link w:val="Style_25"/>
    <w:rPr>
      <w:b w:val="1"/>
      <w:sz w:val="20"/>
    </w:rPr>
  </w:style>
  <w:style w:styleId="Style_26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default="1" w:styleId="Style_27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theme/theme1.xml" Type="http://schemas.openxmlformats.org/officeDocument/2006/relationships/theme"/>
  <Relationship Id="rId13" Target="webSettings.xml" Type="http://schemas.openxmlformats.org/officeDocument/2006/relationships/webSetting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stylesWithEffects.xml" Type="http://schemas.microsoft.com/office/2007/relationships/stylesWithEffects"/>
  <Relationship Id="rId10" Target="settings.xml" Type="http://schemas.openxmlformats.org/officeDocument/2006/relationships/settings"/>
  <Relationship Id="rId5" Target="media/5.png" Type="http://schemas.openxmlformats.org/officeDocument/2006/relationships/image"/>
  <Relationship Id="rId11" Target="styles.xml" Type="http://schemas.openxmlformats.org/officeDocument/2006/relationships/styles"/>
  <Relationship Id="rId8" Target="media/8.png" Type="http://schemas.openxmlformats.org/officeDocument/2006/relationships/image"/>
  <Relationship Id="rId2" Target="media/2.png" Type="http://schemas.openxmlformats.org/officeDocument/2006/relationships/image"/>
  <Relationship Id="rId9" Target="fontTable.xml" Type="http://schemas.openxmlformats.org/officeDocument/2006/relationships/fontTable"/>
  <Relationship Id="rId15" Target="numbering.xml" Type="http://schemas.openxmlformats.org/officeDocument/2006/relationships/numbering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2026-10-07T20:54:29Z</dcterms:created>
  <dcterms:modified xsi:type="dcterms:W3CDTF">2026-10-07T20:54:29Z</dcterms:modified>
</cp:coreProperties>
</file>