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Individual Project</w:t>
            </w:r>
          </w:p>
        </w:tc>
      </w:tr>
      <w:tr>
        <w:trPr>
          <w:cantSplit w:val="0"/>
          <w:tblHeader w:val="0"/>
        </w:trPr>
        <w:tc>
          <w:tcPr/>
          <w:p w:rsidR="00000000" w:rsidDel="00000000" w:rsidP="00000000" w:rsidRDefault="00000000" w:rsidRPr="00000000" w14:paraId="00000008">
            <w:pPr>
              <w:rPr/>
            </w:pPr>
            <w:r>
              <w:t>Global Electric Vehicle Market Intelligence Dashboard</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t>PS-1</w:t>
            </w:r>
          </w:p>
        </w:tc>
        <w:tc>
          <w:tcPr/>
          <w:p>
            <w:r>
              <w:t>Emily Johnson, EV Market Strategy Director</w:t>
            </w:r>
          </w:p>
        </w:tc>
        <w:tc>
          <w:tcPr/>
          <w:p>
            <w:r>
              <w:t>identify top-selling EV categories and manufacturers</w:t>
            </w:r>
          </w:p>
        </w:tc>
        <w:tc>
          <w:tcPr/>
          <w:p>
            <w:r>
              <w:t>data is spread across different metrics and categories</w:t>
            </w:r>
          </w:p>
        </w:tc>
        <w:tc>
          <w:tcPr/>
          <w:p>
            <w:r>
              <w:t>there is no single interactive executive view</w:t>
            </w:r>
          </w:p>
        </w:tc>
        <w:tc>
          <w:tcPr/>
          <w:p>
            <w:r>
              <w:t>less confident in portfolio and growth decisions</w:t>
            </w:r>
          </w:p>
        </w:tc>
      </w:tr>
      <w:tr>
        <w:trPr>
          <w:cantSplit w:val="0"/>
          <w:tblHeader w:val="0"/>
        </w:trPr>
        <w:tc>
          <w:tcPr/>
          <w:p>
            <w:r>
              <w:t>PS-2</w:t>
            </w:r>
          </w:p>
        </w:tc>
        <w:tc>
          <w:tcPr/>
          <w:p>
            <w:r>
              <w:t>David Chen, Automotive BI Manager</w:t>
            </w:r>
          </w:p>
        </w:tc>
        <w:tc>
          <w:tcPr/>
          <w:p>
            <w:r>
              <w:t>compare manufacturer share, battery adoption and country production</w:t>
            </w:r>
          </w:p>
        </w:tc>
        <w:tc>
          <w:tcPr/>
          <w:p>
            <w:r>
              <w:t>metrics may be inconsistent or difficult to compare</w:t>
            </w:r>
          </w:p>
        </w:tc>
        <w:tc>
          <w:tcPr/>
          <w:p>
            <w:r>
              <w:t>the analysis requires repeatable, transparent measures</w:t>
            </w:r>
          </w:p>
        </w:tc>
        <w:tc>
          <w:tcPr/>
          <w:p>
            <w:r>
              <w:t>client recommendations take longer and carry more uncertainty</w:t>
            </w:r>
          </w:p>
        </w:tc>
      </w:tr>
    </w:tbl>
    <w:p w:rsidR="00000000" w:rsidDel="00000000" w:rsidP="00000000" w:rsidRDefault="00000000" w:rsidRPr="00000000" w14:paraId="00000026">
      <w:pPr>
        <w:rPr>
          <w:sz w:val="24"/>
          <w:szCs w:val="24"/>
        </w:rPr>
      </w:pPr>
      <w:r w:rsidDel="00000000" w:rsidR="00000000" w:rsidRPr="00000000">
        <w:rPr>
          <w:rtl w:val="0"/>
        </w:rPr>
      </w:r>
    </w:p>
    <w:p>
      <w:pPr>
        <w:pStyle w:val="Heading1"/>
      </w:pPr>
      <w:r>
        <w:t>Additional research persona</w:t>
      </w:r>
    </w:p>
    <w:p>
      <w:r>
        <w:t>Dr. Sarah Williams needs comparable views of battery chemistry, driving range, manufacturing geography, and customer ratings to study sustainable mobility. The dashboard should make the data limitations and measurement definitions explicit.</w:t>
      </w:r>
    </w:p>
    <w:p>
      <w:r>
        <w:t>Student: Harsh Agrawal</w:t>
      </w:r>
    </w:p>
    <w:p>
      <w:r>
        <w:t>Project: Global Electric Vehicle Market Intelligence Dashboard</w:t>
      </w:r>
    </w:p>
    <w:sectPr>
      <w:headerReference r:id="rId10" w:type="default"/>
      <w:footerReference w:type="default" r:id="rId11"/>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