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
              <w:t>28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
              <w:t>Individual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t xml:space="preserve">Global Electric Vehicle Market Intelligence Dashboard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t>Global Electric Vehicle Market Intelligence Dashboard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Creating an effective Streamlit dashboard involves presenting business data stored in Snowflake through clear, interactive, and easy-to-understand visualizations. Students should design the dashboard so that users can quickly understand important KPIs, trends, comparisons, and business insights.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8"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7"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afterAutospacing="0" w:before="240" w:line="240" w:lineRule="auto"/>
        <w:ind w:left="720" w:hanging="360"/>
        <w:rPr/>
      </w:pPr>
      <w:r w:rsidDel="00000000" w:rsidR="00000000" w:rsidRPr="00000000">
        <w:rPr>
          <w:rtl w:val="0"/>
        </w:rPr>
        <w:t xml:space="preserve">Mumbai Indians emerge as the strongest team by wins</w:t>
        <w:br w:type="textWrapping"/>
        <w:t xml:space="preserve"> Mumbai Indians are shown at the top of the Top Teams by Wins chart, indicating consistently strong performance across IPL seasons.</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pPr>
      <w:r w:rsidDel="00000000" w:rsidR="00000000" w:rsidRPr="00000000">
        <w:rPr>
          <w:rtl w:val="0"/>
        </w:rPr>
        <w:t xml:space="preserve">Batting performance is dominated by a few key players</w:t>
        <w:br w:type="textWrapping"/>
        <w:t xml:space="preserve"> V. Kohli leads the Top Run Scorers chart, followed by players such as S. Dhawan, RG Sharma, and DA Warner. This highlights the importance of high-performing batsmen.</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pPr>
      <w:r w:rsidDel="00000000" w:rsidR="00000000" w:rsidRPr="00000000">
        <w:rPr>
          <w:rtl w:val="0"/>
        </w:rPr>
        <w:t xml:space="preserve">Wicket-taking performance is concentrated among leading bowlers</w:t>
        <w:br w:type="textWrapping"/>
        <w:t xml:space="preserve"> YS Chahal ranks highest in the Top Wicket Takers chart, followed by PP Chawla and DJ Bravo, indicating that a relatively small group of bowlers has contributed significantly to wicket-taking.</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beforeAutospacing="0" w:line="240" w:lineRule="auto"/>
        <w:ind w:left="720" w:hanging="360"/>
        <w:rPr/>
      </w:pPr>
      <w:r w:rsidDel="00000000" w:rsidR="00000000" w:rsidRPr="00000000">
        <w:rPr>
          <w:rtl w:val="0"/>
        </w:rPr>
        <w:t xml:space="preserve">IPL match activity and scoring have grown over the seasons</w:t>
        <w:br w:type="textWrapping"/>
        <w:t xml:space="preserve"> The Matches by Season and Runs by Season charts show variation and an overall increase in IPL activity and run production across seasons, with particularly high run totals in later seasons.</w:t>
      </w:r>
    </w:p>
    <w:p w:rsidR="00000000" w:rsidDel="00000000" w:rsidP="00000000" w:rsidRDefault="00000000" w:rsidRPr="00000000" w14:paraId="00000021">
      <w:pPr>
        <w:spacing w:after="240" w:before="240" w:line="240" w:lineRule="auto"/>
        <w:rPr/>
      </w:pPr>
      <w:r w:rsidDel="00000000" w:rsidR="00000000" w:rsidRPr="00000000">
        <w:rPr>
          <w:rtl w:val="0"/>
        </w:rPr>
        <w:t xml:space="preserve">Overall outcome: The dashboard suggests that IPL success is influenced by a combination of strong teams, elite batting and bowling performers, match/toss decisions, and changing scoring patterns across seasons.</w:t>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p>
      <w:pPr>
        <w:pStyle w:val="Heading1"/>
      </w:pPr>
      <w:r>
        <w:t>Dashboard Design — EV Market Intelligence</w:t>
      </w:r>
    </w:p>
    <w:p>
      <w:r>
        <w:t>Layout: top row KPI cards (annual sales, number of models, average range, average rating where available); middle row annual trend and category/manufacturer rankings; lower row battery mix, range comparison, country distribution, and ratings.</w:t>
      </w:r>
    </w:p>
    <w:p>
      <w:r>
        <w:t>Filters: year, vehicle category, manufacturer, battery technology, and manufacturing country, subject to fields available in the dataset.</w:t>
      </w:r>
    </w:p>
    <w:p>
      <w:r>
        <w:t>Visual standards: consistent units and number formats; descriptive titles; accessible colors; tooltips showing relevant context; avoid decorative 3D charts.</w:t>
      </w:r>
    </w:p>
    <w:p>
      <w:r>
        <w:t>Major outcomes to test and report: leading category by sales; top manufacturer by sales; battery technology distribution; range differences across categories; geographic production patterns; customer-rating variation.</w:t>
      </w:r>
    </w:p>
    <w:p>
      <w:r>
        <w:t>No numerical outcomes are asserted until the real dataset is loaded and the dashboard is validated.</w:t>
      </w:r>
    </w:p>
    <w:p>
      <w:r>
        <w:t>Activity 2 — Tableau Public: publish only after the workbook is complete and the account/course rules permit it. Public URL: not yet available; insert the real link after publication.</w:t>
      </w:r>
    </w:p>
    <w:p>
      <w:r>
        <w:t>Student: Harsh Agrawal</w:t>
      </w:r>
    </w:p>
    <w:p>
      <w:r>
        <w:t>Project: Global Electric Vehicle Market Intelligence Dashboard</w:t>
      </w:r>
    </w:p>
    <w:sectPr>
      <w:headerReference r:id="rId10" w:type="default"/>
      <w:footerReference w:type="default" r:id="rId11"/>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