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color w:val="00cc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cc00"/>
                <w:rtl w:val="0"/>
              </w:rPr>
              <w:t xml:space="preserve">Wetenschappelijke benaming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0cc00"/>
              </w:rPr>
            </w:pPr>
            <w:r w:rsidDel="00000000" w:rsidR="00000000" w:rsidRPr="00000000">
              <w:rPr>
                <w:color w:val="00cc00"/>
                <w:rtl w:val="0"/>
              </w:rPr>
              <w:t xml:space="preserve">Nederlandse benaming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0cc00"/>
              </w:rPr>
            </w:pPr>
            <w:r w:rsidDel="00000000" w:rsidR="00000000" w:rsidRPr="00000000">
              <w:rPr>
                <w:color w:val="00cc00"/>
                <w:rtl w:val="0"/>
              </w:rPr>
              <w:t xml:space="preserve">Voorbeelden (2 kunnen geven)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Actinidiaceae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Kiwifamilie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Actinidia chinesis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(Chinese kruisbes of kiwi)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Actinidia deliciosa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Amaranthaceae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Amarantenfamilie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Spinazie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Rode biet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Quinoa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Amaryllidaceae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Narcisfamilie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Prei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Ui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Look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Anacardiaceae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Pruikenboomfamilie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Mango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Cashewnoot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Pistachenoot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Apiaceae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Schermbloemfamilie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Anijs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Venkel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Wortel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Asperagaceae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Aspergefamilie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Asperge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Agave tequilana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Agave salmiana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Asteraceae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Composietenfamilie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Zonnebloem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Witloof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Artisjok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Brassicaceae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Kruisbloemfamilie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Radijs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Koolzaad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Bloemkool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Cannabaceae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Hennepfamilie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Cannabis sativa (hennep)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Humulus lupulus (hop)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Convulvulaceae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Windefamilie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Zoete aardappel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Akkerwinde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Cucurbitaceae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komkommerfamilie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Komkommer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Meloen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Pompoen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Dioscoreaceae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Yam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Euphorbiaceae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Wolfsmelkfamilie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Maniok (cassave)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Braziliaanse rubberboom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Wonderboom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Fagaceae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Napjesdragers- of beukenfamilie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Beuk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Kurkeik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Lamiaceae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Lipbloemfamilie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Munt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Lavendel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Rozemarijn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Lauraceae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Laurierfamilie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Avocado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Laurier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Kaneel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Leguminosae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Vlinderbloemfamilie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Bonen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Erwten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Sojabonen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Linaceae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Vlasfamilie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Vlas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Malvaceae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Kaasjeskruidfamilie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Katoenplant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Cacaoboom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Baobab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Musaceae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Banaanfamilie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Babybanaan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Bakbanaan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Cavendish Banaan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Mytraceae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Mirtefamilie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- Eucalyptusboom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Guave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Kruidnagelboom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Oleaceae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Olijffamilie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 Olijfboom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Es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 Jasmijn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Orchidaceae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Orchideeënfamilie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 Vanille-orchidee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Palmae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Palmenfamilie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Oliepalm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Dadelpalm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 Kokospalm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Papaveraceae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Papaverfamilie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Papaver somniferum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(- Bleke Klaproos)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Poaceae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Grassenfamilie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Tarwe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Rijst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 Maïs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Rosaceae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Rozenfamilie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 Appel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 Perzik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 Peer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Rubiaceae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Sterbladigenfamilie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 Coffea arabica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 Coffea canephora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 Coffea liberica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Rutaceae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Wijnruitfamilie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- Sinaasappel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 Citroen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 Limoen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Solanaceae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Nachtschadefamilie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Tomaat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Aardappel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Tabak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Theaceae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Theefamilie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Camillia Sinensis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Vitaceae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Wijnstokfamilie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Wijnstok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 Druiven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Rozijnen</w:t>
            </w:r>
          </w:p>
        </w:tc>
      </w:tr>
    </w:tbl>
    <w:p w:rsidR="00000000" w:rsidDel="00000000" w:rsidP="00000000" w:rsidRDefault="00000000" w:rsidRPr="00000000" w14:paraId="0000009B">
      <w:pPr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elraster">
    <w:name w:val="Table Grid"/>
    <w:basedOn w:val="Standaardtabel"/>
    <w:uiPriority w:val="39"/>
    <w:rsid w:val="003019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jstalinea">
    <w:name w:val="List Paragraph"/>
    <w:basedOn w:val="Standaard"/>
    <w:uiPriority w:val="34"/>
    <w:qFormat w:val="1"/>
    <w:rsid w:val="003019D1"/>
    <w:pPr>
      <w:ind w:left="720"/>
      <w:contextualSpacing w:val="1"/>
    </w:pPr>
  </w:style>
  <w:style w:type="character" w:styleId="st" w:customStyle="1">
    <w:name w:val="st"/>
    <w:basedOn w:val="Standaardalinea-lettertype"/>
    <w:rsid w:val="001223F9"/>
  </w:style>
  <w:style w:type="paragraph" w:styleId="Koptekst">
    <w:name w:val="header"/>
    <w:basedOn w:val="Standaard"/>
    <w:link w:val="KoptekstChar"/>
    <w:uiPriority w:val="99"/>
    <w:unhideWhenUsed w:val="1"/>
    <w:rsid w:val="00972324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72324"/>
  </w:style>
  <w:style w:type="paragraph" w:styleId="Voettekst">
    <w:name w:val="footer"/>
    <w:basedOn w:val="Standaard"/>
    <w:link w:val="VoettekstChar"/>
    <w:uiPriority w:val="99"/>
    <w:unhideWhenUsed w:val="1"/>
    <w:rsid w:val="00972324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97232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V9NUPO1EH6JP+mlJC6OOwHolA==">AMUW2mWfMuxDWr6Xf8d6ynHKqD139mFOj9qt0f01UMIjZY3F5YnM2QRTMZSD3qcW2drUXrp9eA25yEUyFTnEvm1vcSNIMwKHR1gkxMg3/viGQL9C941/01iRsqK48eCnnvqPRo55NeHx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2014-12-24T13:33:00Z</dcterms:created>
  <dc:creator>Jef Van Baelen</dc:creator>
</cp:coreProperties>
</file>