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EB1" w:rsidRDefault="00580EB1" w:rsidP="00580EB1">
      <w:pPr>
        <w:pStyle w:val="Geenafstand"/>
        <w:rPr>
          <w:b/>
          <w:noProof/>
          <w:sz w:val="28"/>
          <w:u w:val="single"/>
          <w:lang w:eastAsia="nl-BE"/>
        </w:rPr>
      </w:pPr>
      <w:r w:rsidRPr="00580EB1">
        <w:rPr>
          <w:b/>
          <w:noProof/>
          <w:sz w:val="28"/>
          <w:u w:val="single"/>
          <w:lang w:eastAsia="nl-BE"/>
        </w:rPr>
        <w:t>Energievoorziening België</w:t>
      </w:r>
    </w:p>
    <w:p w:rsidR="00580EB1" w:rsidRDefault="00580EB1" w:rsidP="00580EB1">
      <w:pPr>
        <w:pStyle w:val="Geenafstand"/>
        <w:rPr>
          <w:b/>
          <w:noProof/>
          <w:sz w:val="28"/>
          <w:u w:val="single"/>
          <w:lang w:eastAsia="nl-BE"/>
        </w:rPr>
      </w:pPr>
    </w:p>
    <w:p w:rsidR="00580EB1" w:rsidRDefault="00580EB1" w:rsidP="00580EB1">
      <w:pPr>
        <w:pStyle w:val="Geenafstand"/>
        <w:rPr>
          <w:noProof/>
          <w:sz w:val="28"/>
          <w:u w:val="single"/>
          <w:lang w:eastAsia="nl-BE"/>
        </w:rPr>
      </w:pPr>
      <w:r w:rsidRPr="00580EB1">
        <w:rPr>
          <w:noProof/>
          <w:sz w:val="28"/>
          <w:u w:val="single"/>
          <w:lang w:eastAsia="nl-BE"/>
        </w:rPr>
        <w:t>Huidige Situatie</w:t>
      </w:r>
    </w:p>
    <w:p w:rsidR="00B55355" w:rsidRDefault="00B55355" w:rsidP="00580EB1">
      <w:pPr>
        <w:pStyle w:val="Geenafstand"/>
        <w:rPr>
          <w:noProof/>
          <w:sz w:val="24"/>
          <w:lang w:eastAsia="nl-BE"/>
        </w:rPr>
      </w:pPr>
    </w:p>
    <w:p w:rsidR="00B55355" w:rsidRPr="00B55355" w:rsidRDefault="00B55355" w:rsidP="00B55355">
      <w:pPr>
        <w:pStyle w:val="Geenafstand"/>
      </w:pPr>
      <w:r w:rsidRPr="00B55355">
        <w:t>Kernenergie</w:t>
      </w:r>
    </w:p>
    <w:p w:rsidR="00B55355" w:rsidRPr="00B55355" w:rsidRDefault="00B55355" w:rsidP="00B55355">
      <w:pPr>
        <w:pStyle w:val="Geenafstand"/>
        <w:numPr>
          <w:ilvl w:val="0"/>
          <w:numId w:val="3"/>
        </w:numPr>
      </w:pPr>
      <w:r w:rsidRPr="00B55355">
        <w:t xml:space="preserve">Naast de proefreactoren in </w:t>
      </w:r>
      <w:hyperlink r:id="rId6" w:tooltip="Mol (België)" w:history="1">
        <w:r w:rsidRPr="00B55355">
          <w:t>Mol</w:t>
        </w:r>
      </w:hyperlink>
      <w:r>
        <w:t xml:space="preserve">, </w:t>
      </w:r>
      <w:r w:rsidRPr="00B55355">
        <w:t>welke is stopgezet en wordt ontmanteld, zijn er in België twee kerncentraleparken voor elektriciteitsproductie:</w:t>
      </w:r>
    </w:p>
    <w:p w:rsidR="00B55355" w:rsidRPr="00B55355" w:rsidRDefault="000B27DB" w:rsidP="00B55355">
      <w:pPr>
        <w:pStyle w:val="Geenafstand"/>
        <w:numPr>
          <w:ilvl w:val="1"/>
          <w:numId w:val="3"/>
        </w:numPr>
      </w:pPr>
      <w:hyperlink r:id="rId7" w:tooltip="Kerncentrale Doel" w:history="1">
        <w:r w:rsidR="00B55355" w:rsidRPr="00B55355">
          <w:t>Doel</w:t>
        </w:r>
      </w:hyperlink>
      <w:r w:rsidR="00B55355" w:rsidRPr="00B55355">
        <w:t xml:space="preserve">, met vier reactoren </w:t>
      </w:r>
    </w:p>
    <w:p w:rsidR="00B55355" w:rsidRPr="00B55355" w:rsidRDefault="000B27DB" w:rsidP="00B55355">
      <w:pPr>
        <w:pStyle w:val="Geenafstand"/>
        <w:numPr>
          <w:ilvl w:val="1"/>
          <w:numId w:val="3"/>
        </w:numPr>
      </w:pPr>
      <w:hyperlink r:id="rId8" w:tooltip="Tihange" w:history="1">
        <w:proofErr w:type="spellStart"/>
        <w:r w:rsidR="00B55355" w:rsidRPr="00B55355">
          <w:t>Tihange</w:t>
        </w:r>
        <w:proofErr w:type="spellEnd"/>
      </w:hyperlink>
      <w:r w:rsidR="00B55355" w:rsidRPr="00B55355">
        <w:t xml:space="preserve">, met drie reactoren </w:t>
      </w:r>
    </w:p>
    <w:p w:rsidR="00B55355" w:rsidRDefault="00B55355" w:rsidP="00B55355">
      <w:pPr>
        <w:pStyle w:val="Geenafstand"/>
        <w:numPr>
          <w:ilvl w:val="0"/>
          <w:numId w:val="3"/>
        </w:numPr>
      </w:pPr>
      <w:r w:rsidRPr="00B55355">
        <w:t>Samen zorgden zij in 2006 voor 54,4%</w:t>
      </w:r>
      <w:r>
        <w:t xml:space="preserve"> van de Belgische elektriciteit.</w:t>
      </w:r>
      <w:r w:rsidRPr="00B55355">
        <w:t xml:space="preserve"> </w:t>
      </w:r>
    </w:p>
    <w:p w:rsidR="00E115F8" w:rsidRDefault="00E115F8" w:rsidP="00E115F8">
      <w:pPr>
        <w:pStyle w:val="Geenafstand"/>
      </w:pPr>
    </w:p>
    <w:p w:rsidR="00E115F8" w:rsidRDefault="00E115F8" w:rsidP="00E115F8">
      <w:pPr>
        <w:pStyle w:val="Geenafstand"/>
      </w:pPr>
      <w:r>
        <w:t>Windenergie</w:t>
      </w:r>
    </w:p>
    <w:p w:rsidR="00B55355" w:rsidRDefault="00E115F8" w:rsidP="00580EB1">
      <w:pPr>
        <w:pStyle w:val="Geenafstand"/>
        <w:numPr>
          <w:ilvl w:val="0"/>
          <w:numId w:val="3"/>
        </w:numPr>
      </w:pPr>
      <w:r w:rsidRPr="00E115F8">
        <w:t xml:space="preserve">Vorig jaar </w:t>
      </w:r>
      <w:proofErr w:type="gramStart"/>
      <w:r w:rsidRPr="00E115F8">
        <w:t>zijn</w:t>
      </w:r>
      <w:proofErr w:type="gramEnd"/>
      <w:r w:rsidRPr="00E115F8">
        <w:t xml:space="preserve"> er in België meer dan honderd nieuwe windtu</w:t>
      </w:r>
      <w:r>
        <w:t xml:space="preserve">rbines geplaatst. </w:t>
      </w:r>
      <w:r w:rsidRPr="00E115F8">
        <w:t xml:space="preserve">Dat is voldoende om het energieverbruik van ruim 627.000 gezinnen te dekken. </w:t>
      </w:r>
      <w:r>
        <w:t>D</w:t>
      </w:r>
      <w:r w:rsidRPr="00E115F8">
        <w:t>at is vooral te danken aan Wallonië en offshore-realisaties. In Vlaanderen werd er nauwelijks extra capaciteit gecreëerd. Wallonië heeft nu een capaciteit van 442 megawatt, tegenover 264 megawatt in Vlaanderen en 195 megawatt uit offshore-projecten. Windenergie vertegenwoordigt op dit ogenblik 2,5 procent van de Belgische elektriciteitsmarkt. Een doelstelling van 15,7 procent tegen het einde van het decennium en 50 procent tegen het midden van de eeuw wordt realistisch genoemd, maar dan is naar eigen zeggen snelle politieke</w:t>
      </w:r>
      <w:r w:rsidR="009848F2">
        <w:t xml:space="preserve"> actie noodzakelijk.</w:t>
      </w:r>
    </w:p>
    <w:p w:rsidR="009848F2" w:rsidRDefault="009848F2" w:rsidP="009848F2">
      <w:pPr>
        <w:pStyle w:val="Geenafstand"/>
      </w:pPr>
    </w:p>
    <w:p w:rsidR="00520A9F" w:rsidRDefault="00520A9F" w:rsidP="00520A9F">
      <w:pPr>
        <w:pStyle w:val="Geenafstand"/>
      </w:pPr>
      <w:r w:rsidRPr="00520A9F">
        <w:t>Offshore (</w:t>
      </w:r>
      <w:hyperlink r:id="rId9" w:tooltip="Engels" w:history="1">
        <w:r w:rsidRPr="00520A9F">
          <w:rPr>
            <w:rStyle w:val="Hyperlink"/>
            <w:color w:val="auto"/>
            <w:u w:val="none"/>
          </w:rPr>
          <w:t>Engels</w:t>
        </w:r>
      </w:hyperlink>
      <w:r w:rsidRPr="00520A9F">
        <w:t>: weg van de kust)</w:t>
      </w:r>
    </w:p>
    <w:p w:rsidR="00520A9F" w:rsidRDefault="00520A9F" w:rsidP="00520A9F">
      <w:pPr>
        <w:pStyle w:val="Geenafstand"/>
        <w:numPr>
          <w:ilvl w:val="0"/>
          <w:numId w:val="3"/>
        </w:numPr>
      </w:pPr>
      <w:r>
        <w:t>I</w:t>
      </w:r>
      <w:r w:rsidRPr="00520A9F">
        <w:t>s de aanduiding van activiteiten die plaatsvinden op enige afstand van de kust, meestal gericht op exploratie en winning van olie en gas, maar in toenemende mate ook van windenergie en aquacultuur</w:t>
      </w:r>
      <w:r>
        <w:t>.</w:t>
      </w:r>
    </w:p>
    <w:p w:rsidR="00520A9F" w:rsidRDefault="00520A9F" w:rsidP="00520A9F">
      <w:pPr>
        <w:pStyle w:val="Geenafstand"/>
        <w:numPr>
          <w:ilvl w:val="0"/>
          <w:numId w:val="3"/>
        </w:numPr>
      </w:pPr>
      <w:hyperlink r:id="rId10" w:history="1">
        <w:r w:rsidRPr="00681D0F">
          <w:rPr>
            <w:rStyle w:val="Hyperlink"/>
          </w:rPr>
          <w:t>http://www.demorgen.be/dm/nl/5379/Ecotips/article/detail/1100199/2010/04/30/Belgie-telt-ruim-2-000-vierkante-kilometer-voor-offshore-windenergie.dhtml</w:t>
        </w:r>
      </w:hyperlink>
    </w:p>
    <w:p w:rsidR="00520A9F" w:rsidRDefault="00520A9F" w:rsidP="00520A9F">
      <w:pPr>
        <w:pStyle w:val="Geenafstand"/>
        <w:numPr>
          <w:ilvl w:val="0"/>
          <w:numId w:val="3"/>
        </w:numPr>
      </w:pPr>
      <w:r>
        <w:t xml:space="preserve">Zowel in Europa als België </w:t>
      </w:r>
      <w:proofErr w:type="gramStart"/>
      <w:r>
        <w:t>lopen</w:t>
      </w:r>
      <w:proofErr w:type="gramEnd"/>
      <w:r>
        <w:t xml:space="preserve"> de ontwikkelingen van offshore windenergie trager dan verwacht. In 2004 bedroeg de Belgische verwachting 2 gigawatt (GW) voor eind 2010 maar vorig jaar werd die verwachting bijgesteld tot 350 megawatt (MW). De beschikbaarheid van offshore technologieën, het </w:t>
      </w:r>
      <w:proofErr w:type="gramStart"/>
      <w:r>
        <w:t>wettelijk</w:t>
      </w:r>
      <w:proofErr w:type="gramEnd"/>
      <w:r>
        <w:t xml:space="preserve"> en economisch kader en de verenigbaarheid met andere activiteiten op zee zijn de voornaamst</w:t>
      </w:r>
      <w:r>
        <w:t>e redenen voor de vertraging.</w:t>
      </w:r>
    </w:p>
    <w:p w:rsidR="00520A9F" w:rsidRPr="00520A9F" w:rsidRDefault="00520A9F" w:rsidP="00520A9F">
      <w:pPr>
        <w:pStyle w:val="Geenafstand"/>
        <w:numPr>
          <w:ilvl w:val="0"/>
          <w:numId w:val="3"/>
        </w:numPr>
      </w:pPr>
      <w:r>
        <w:t>Daarnaast is er dringend nood aan meer onderzoek naar de effecten van de parkdensiteit op het rendement van de windparken. </w:t>
      </w:r>
      <w:r>
        <w:br/>
      </w:r>
    </w:p>
    <w:p w:rsidR="00B55355" w:rsidRDefault="00DB29C9" w:rsidP="00580EB1">
      <w:pPr>
        <w:pStyle w:val="Geenafstand"/>
        <w:rPr>
          <w:noProof/>
          <w:sz w:val="28"/>
          <w:u w:val="single"/>
          <w:lang w:eastAsia="nl-BE"/>
        </w:rPr>
      </w:pPr>
      <w:r>
        <w:rPr>
          <w:noProof/>
          <w:lang w:eastAsia="nl-BE"/>
        </w:rPr>
        <w:drawing>
          <wp:anchor distT="0" distB="0" distL="114300" distR="114300" simplePos="0" relativeHeight="251658240" behindDoc="0" locked="0" layoutInCell="1" allowOverlap="1" wp14:anchorId="685F6457" wp14:editId="2E994F0C">
            <wp:simplePos x="0" y="0"/>
            <wp:positionH relativeFrom="column">
              <wp:posOffset>824230</wp:posOffset>
            </wp:positionH>
            <wp:positionV relativeFrom="paragraph">
              <wp:posOffset>47625</wp:posOffset>
            </wp:positionV>
            <wp:extent cx="3895725" cy="3086100"/>
            <wp:effectExtent l="0" t="0" r="9525" b="0"/>
            <wp:wrapSquare wrapText="bothSides"/>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3895725" cy="3086100"/>
                    </a:xfrm>
                    <a:prstGeom prst="rect">
                      <a:avLst/>
                    </a:prstGeom>
                  </pic:spPr>
                </pic:pic>
              </a:graphicData>
            </a:graphic>
            <wp14:sizeRelH relativeFrom="page">
              <wp14:pctWidth>0</wp14:pctWidth>
            </wp14:sizeRelH>
            <wp14:sizeRelV relativeFrom="page">
              <wp14:pctHeight>0</wp14:pctHeight>
            </wp14:sizeRelV>
          </wp:anchor>
        </w:drawing>
      </w:r>
    </w:p>
    <w:p w:rsidR="00580EB1" w:rsidRPr="00580EB1" w:rsidRDefault="00580EB1" w:rsidP="00580EB1">
      <w:pPr>
        <w:pStyle w:val="Geenafstand"/>
        <w:rPr>
          <w:noProof/>
          <w:sz w:val="28"/>
          <w:u w:val="single"/>
          <w:lang w:eastAsia="nl-BE"/>
        </w:rPr>
      </w:pPr>
    </w:p>
    <w:p w:rsidR="00580EB1" w:rsidRDefault="00580EB1" w:rsidP="00580EB1">
      <w:pPr>
        <w:pStyle w:val="Geenafstand"/>
        <w:rPr>
          <w:b/>
          <w:noProof/>
          <w:sz w:val="28"/>
          <w:u w:val="single"/>
          <w:lang w:eastAsia="nl-BE"/>
        </w:rPr>
      </w:pPr>
    </w:p>
    <w:p w:rsidR="005C6BC4" w:rsidRDefault="005C6BC4" w:rsidP="00580EB1">
      <w:pPr>
        <w:pStyle w:val="Geenafstand"/>
        <w:rPr>
          <w:noProof/>
          <w:sz w:val="28"/>
          <w:u w:val="single"/>
          <w:lang w:eastAsia="nl-BE"/>
        </w:rPr>
      </w:pPr>
    </w:p>
    <w:p w:rsidR="005C6BC4" w:rsidRDefault="005C6BC4" w:rsidP="00580EB1">
      <w:pPr>
        <w:pStyle w:val="Geenafstand"/>
        <w:rPr>
          <w:noProof/>
          <w:sz w:val="28"/>
          <w:u w:val="single"/>
          <w:lang w:eastAsia="nl-BE"/>
        </w:rPr>
      </w:pPr>
    </w:p>
    <w:p w:rsidR="005C6BC4" w:rsidRDefault="005C6BC4" w:rsidP="00580EB1">
      <w:pPr>
        <w:pStyle w:val="Geenafstand"/>
        <w:rPr>
          <w:noProof/>
          <w:sz w:val="28"/>
          <w:u w:val="single"/>
          <w:lang w:eastAsia="nl-BE"/>
        </w:rPr>
      </w:pPr>
    </w:p>
    <w:p w:rsidR="005C6BC4" w:rsidRDefault="005C6BC4" w:rsidP="00580EB1">
      <w:pPr>
        <w:pStyle w:val="Geenafstand"/>
        <w:rPr>
          <w:noProof/>
          <w:sz w:val="28"/>
          <w:u w:val="single"/>
          <w:lang w:eastAsia="nl-BE"/>
        </w:rPr>
      </w:pPr>
    </w:p>
    <w:p w:rsidR="005C6BC4" w:rsidRDefault="005C6BC4" w:rsidP="00580EB1">
      <w:pPr>
        <w:pStyle w:val="Geenafstand"/>
        <w:rPr>
          <w:noProof/>
          <w:sz w:val="28"/>
          <w:u w:val="single"/>
          <w:lang w:eastAsia="nl-BE"/>
        </w:rPr>
      </w:pPr>
    </w:p>
    <w:p w:rsidR="005C6BC4" w:rsidRDefault="005C6BC4" w:rsidP="00580EB1">
      <w:pPr>
        <w:pStyle w:val="Geenafstand"/>
        <w:rPr>
          <w:noProof/>
          <w:sz w:val="28"/>
          <w:u w:val="single"/>
          <w:lang w:eastAsia="nl-BE"/>
        </w:rPr>
      </w:pPr>
    </w:p>
    <w:p w:rsidR="005C6BC4" w:rsidRDefault="005C6BC4" w:rsidP="00580EB1">
      <w:pPr>
        <w:pStyle w:val="Geenafstand"/>
        <w:rPr>
          <w:noProof/>
          <w:sz w:val="28"/>
          <w:u w:val="single"/>
          <w:lang w:eastAsia="nl-BE"/>
        </w:rPr>
      </w:pPr>
    </w:p>
    <w:p w:rsidR="000B27DB" w:rsidRDefault="000B27DB" w:rsidP="00580EB1">
      <w:pPr>
        <w:pStyle w:val="Geenafstand"/>
        <w:rPr>
          <w:noProof/>
          <w:sz w:val="28"/>
          <w:u w:val="single"/>
          <w:lang w:eastAsia="nl-BE"/>
        </w:rPr>
      </w:pPr>
    </w:p>
    <w:p w:rsidR="00580EB1" w:rsidRPr="00580EB1" w:rsidRDefault="00580EB1" w:rsidP="00580EB1">
      <w:pPr>
        <w:pStyle w:val="Geenafstand"/>
        <w:rPr>
          <w:noProof/>
          <w:sz w:val="28"/>
          <w:u w:val="single"/>
          <w:lang w:eastAsia="nl-BE"/>
        </w:rPr>
      </w:pPr>
      <w:r w:rsidRPr="00580EB1">
        <w:rPr>
          <w:noProof/>
          <w:sz w:val="28"/>
          <w:u w:val="single"/>
          <w:lang w:eastAsia="nl-BE"/>
        </w:rPr>
        <w:lastRenderedPageBreak/>
        <w:t>Toekomst</w:t>
      </w:r>
    </w:p>
    <w:p w:rsidR="00580EB1" w:rsidRPr="00580EB1" w:rsidRDefault="00580EB1">
      <w:pPr>
        <w:rPr>
          <w:b/>
          <w:noProof/>
          <w:sz w:val="20"/>
          <w:u w:val="single"/>
          <w:lang w:eastAsia="nl-BE"/>
        </w:rPr>
      </w:pPr>
      <w:bookmarkStart w:id="0" w:name="_GoBack"/>
      <w:bookmarkEnd w:id="0"/>
    </w:p>
    <w:p w:rsidR="00580EB1" w:rsidRDefault="00580EB1">
      <w:pPr>
        <w:rPr>
          <w:noProof/>
          <w:lang w:eastAsia="nl-BE"/>
        </w:rPr>
      </w:pPr>
    </w:p>
    <w:p w:rsidR="003F6725" w:rsidRDefault="003F6725"/>
    <w:sectPr w:rsidR="003F6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16DA"/>
    <w:multiLevelType w:val="hybridMultilevel"/>
    <w:tmpl w:val="76A050FE"/>
    <w:lvl w:ilvl="0" w:tplc="50541AFC">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69A0BF7"/>
    <w:multiLevelType w:val="multilevel"/>
    <w:tmpl w:val="70B0B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E18E6"/>
    <w:multiLevelType w:val="hybridMultilevel"/>
    <w:tmpl w:val="78EA2918"/>
    <w:lvl w:ilvl="0" w:tplc="35AA3430">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89"/>
    <w:rsid w:val="000A2F58"/>
    <w:rsid w:val="000B27DB"/>
    <w:rsid w:val="003650BB"/>
    <w:rsid w:val="003F6725"/>
    <w:rsid w:val="004C1389"/>
    <w:rsid w:val="00520A9F"/>
    <w:rsid w:val="00580EB1"/>
    <w:rsid w:val="005C6BC4"/>
    <w:rsid w:val="009848F2"/>
    <w:rsid w:val="00B55355"/>
    <w:rsid w:val="00DB29C9"/>
    <w:rsid w:val="00E115F8"/>
    <w:rsid w:val="00E77E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650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50BB"/>
    <w:rPr>
      <w:rFonts w:ascii="Tahoma" w:hAnsi="Tahoma" w:cs="Tahoma"/>
      <w:sz w:val="16"/>
      <w:szCs w:val="16"/>
    </w:rPr>
  </w:style>
  <w:style w:type="paragraph" w:styleId="Geenafstand">
    <w:name w:val="No Spacing"/>
    <w:uiPriority w:val="1"/>
    <w:qFormat/>
    <w:rsid w:val="00580EB1"/>
    <w:pPr>
      <w:spacing w:after="0" w:line="240" w:lineRule="auto"/>
    </w:pPr>
  </w:style>
  <w:style w:type="paragraph" w:styleId="Normaalweb">
    <w:name w:val="Normal (Web)"/>
    <w:basedOn w:val="Standaard"/>
    <w:uiPriority w:val="99"/>
    <w:semiHidden/>
    <w:unhideWhenUsed/>
    <w:rsid w:val="00B5535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B553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650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50BB"/>
    <w:rPr>
      <w:rFonts w:ascii="Tahoma" w:hAnsi="Tahoma" w:cs="Tahoma"/>
      <w:sz w:val="16"/>
      <w:szCs w:val="16"/>
    </w:rPr>
  </w:style>
  <w:style w:type="paragraph" w:styleId="Geenafstand">
    <w:name w:val="No Spacing"/>
    <w:uiPriority w:val="1"/>
    <w:qFormat/>
    <w:rsid w:val="00580EB1"/>
    <w:pPr>
      <w:spacing w:after="0" w:line="240" w:lineRule="auto"/>
    </w:pPr>
  </w:style>
  <w:style w:type="paragraph" w:styleId="Normaalweb">
    <w:name w:val="Normal (Web)"/>
    <w:basedOn w:val="Standaard"/>
    <w:uiPriority w:val="99"/>
    <w:semiHidden/>
    <w:unhideWhenUsed/>
    <w:rsid w:val="00B5535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B553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85905">
      <w:bodyDiv w:val="1"/>
      <w:marLeft w:val="0"/>
      <w:marRight w:val="0"/>
      <w:marTop w:val="0"/>
      <w:marBottom w:val="0"/>
      <w:divBdr>
        <w:top w:val="none" w:sz="0" w:space="0" w:color="auto"/>
        <w:left w:val="none" w:sz="0" w:space="0" w:color="auto"/>
        <w:bottom w:val="none" w:sz="0" w:space="0" w:color="auto"/>
        <w:right w:val="none" w:sz="0" w:space="0" w:color="auto"/>
      </w:divBdr>
    </w:div>
    <w:div w:id="956760259">
      <w:bodyDiv w:val="1"/>
      <w:marLeft w:val="0"/>
      <w:marRight w:val="0"/>
      <w:marTop w:val="0"/>
      <w:marBottom w:val="0"/>
      <w:divBdr>
        <w:top w:val="none" w:sz="0" w:space="0" w:color="auto"/>
        <w:left w:val="none" w:sz="0" w:space="0" w:color="auto"/>
        <w:bottom w:val="none" w:sz="0" w:space="0" w:color="auto"/>
        <w:right w:val="none" w:sz="0" w:space="0" w:color="auto"/>
      </w:divBdr>
    </w:div>
    <w:div w:id="189222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Tihang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l.wikipedia.org/wiki/Kerncentrale_Do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wikipedia.org/wiki/Mol_%28Belgi%C3%AB%29"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demorgen.be/dm/nl/5379/Ecotips/article/detail/1100199/2010/04/30/Belgie-telt-ruim-2-000-vierkante-kilometer-voor-offshore-windenergie.dhtml" TargetMode="External"/><Relationship Id="rId4" Type="http://schemas.openxmlformats.org/officeDocument/2006/relationships/settings" Target="settings.xml"/><Relationship Id="rId9" Type="http://schemas.openxmlformats.org/officeDocument/2006/relationships/hyperlink" Target="http://nl.wikipedia.org/wiki/Engel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379</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Anné</dc:creator>
  <cp:keywords/>
  <dc:description/>
  <cp:lastModifiedBy>Thomas Anné</cp:lastModifiedBy>
  <cp:revision>10</cp:revision>
  <dcterms:created xsi:type="dcterms:W3CDTF">2012-04-23T17:54:00Z</dcterms:created>
  <dcterms:modified xsi:type="dcterms:W3CDTF">2012-04-23T19:48:00Z</dcterms:modified>
</cp:coreProperties>
</file>