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78" w:rsidRDefault="00F76D78" w:rsidP="00F76D78">
      <w:pPr>
        <w:pStyle w:val="Titel"/>
        <w:outlineLvl w:val="0"/>
      </w:pPr>
      <w:r>
        <w:t>Oefening 2: Neerslag</w:t>
      </w:r>
    </w:p>
    <w:p w:rsidR="006F7689" w:rsidRDefault="00F76D78" w:rsidP="00BC47FC">
      <w:pPr>
        <w:jc w:val="center"/>
      </w:pPr>
      <w:r>
        <w:rPr>
          <w:noProof/>
        </w:rPr>
        <w:drawing>
          <wp:inline distT="0" distB="0" distL="0" distR="0">
            <wp:extent cx="5455444" cy="4296632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444" cy="429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78" w:rsidRDefault="00F76D78" w:rsidP="00F31031">
      <w:r w:rsidRPr="00D70C3E">
        <w:rPr>
          <w:b/>
          <w:bCs/>
        </w:rPr>
        <w:t>Gegeven:</w:t>
      </w:r>
      <w:r>
        <w:t xml:space="preserve"> </w:t>
      </w:r>
      <w:r>
        <w:br/>
        <w:t xml:space="preserve">- </w:t>
      </w:r>
      <w:proofErr w:type="spellStart"/>
      <w:r w:rsidR="00F31031">
        <w:t>Neerslagtijdreeksen</w:t>
      </w:r>
      <w:proofErr w:type="spellEnd"/>
      <w:r w:rsidR="00F31031">
        <w:t xml:space="preserve">  van 1988 tot 2001 voor 5 meetstations in een stroomgebied in Oost-</w:t>
      </w:r>
      <w:r w:rsidR="009D4A04">
        <w:t xml:space="preserve">  </w:t>
      </w:r>
      <w:r w:rsidR="009D4A04">
        <w:br/>
        <w:t xml:space="preserve">   </w:t>
      </w:r>
      <w:r w:rsidR="00F31031">
        <w:t>Vlaanderen.</w:t>
      </w:r>
      <w:r>
        <w:br/>
        <w:t xml:space="preserve">- </w:t>
      </w:r>
      <w:r w:rsidR="00F31031">
        <w:t>Coördinaten van de meetstations en het stroomgebied.</w:t>
      </w:r>
      <w:r w:rsidR="009D4A04">
        <w:br/>
        <w:t>- Ontbrekende gegevens van 2 tot en met 8 juli 2000.</w:t>
      </w:r>
    </w:p>
    <w:p w:rsidR="00F76D78" w:rsidRDefault="00F76D78" w:rsidP="00BC47FC">
      <w:r w:rsidRPr="00D70C3E">
        <w:rPr>
          <w:b/>
          <w:bCs/>
        </w:rPr>
        <w:t>Gevraagd:</w:t>
      </w:r>
      <w:r w:rsidRPr="00D70C3E">
        <w:rPr>
          <w:b/>
          <w:bCs/>
        </w:rPr>
        <w:br/>
      </w:r>
      <w:r>
        <w:t xml:space="preserve">- </w:t>
      </w:r>
      <w:r w:rsidR="009D4A04">
        <w:t>Ontbrekende gegevens van 2 tot en met 8 juli</w:t>
      </w:r>
      <w:r w:rsidR="008E1F50">
        <w:t xml:space="preserve"> 2000 aanvullen</w:t>
      </w:r>
      <w:r w:rsidR="00BC47FC">
        <w:t xml:space="preserve"> met de genormaliseerde </w:t>
      </w:r>
      <w:r w:rsidR="00BC47FC">
        <w:br/>
        <w:t xml:space="preserve">  verhoudingsmethode</w:t>
      </w:r>
      <w:r w:rsidR="008E1F50">
        <w:t>.</w:t>
      </w:r>
      <w:r>
        <w:br/>
        <w:t xml:space="preserve">- </w:t>
      </w:r>
      <w:r w:rsidR="00BC47FC">
        <w:t>Ontbrekende gegevens van 2 tot en met 8 juli 2000 aanvullen met de inverse afstand interpolatie.</w:t>
      </w:r>
    </w:p>
    <w:p w:rsidR="00BC47FC" w:rsidRDefault="00F76D78" w:rsidP="00BC47FC">
      <w:r>
        <w:rPr>
          <w:b/>
          <w:bCs/>
        </w:rPr>
        <w:t>Antwoord:</w:t>
      </w:r>
      <w:r>
        <w:br/>
        <w:t xml:space="preserve">- </w:t>
      </w:r>
      <w:r w:rsidR="00BC47FC">
        <w:t>De onderlinge afstanden tussen de verschillen</w:t>
      </w:r>
      <w:r w:rsidR="004D2853">
        <w:t>de meetstations worden bepaald.</w:t>
      </w:r>
    </w:p>
    <w:tbl>
      <w:tblPr>
        <w:tblStyle w:val="Tabelraster"/>
        <w:tblW w:w="0" w:type="auto"/>
        <w:shd w:val="solid" w:color="auto" w:fill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C47FC" w:rsidTr="004D2853">
        <w:tc>
          <w:tcPr>
            <w:tcW w:w="1535" w:type="dxa"/>
            <w:tcBorders>
              <w:bottom w:val="single" w:sz="4" w:space="0" w:color="auto"/>
            </w:tcBorders>
            <w:shd w:val="solid" w:color="auto" w:fill="auto"/>
          </w:tcPr>
          <w:p w:rsidR="00BC47FC" w:rsidRDefault="00BC47FC" w:rsidP="00BC47FC">
            <w:pPr>
              <w:jc w:val="center"/>
            </w:pPr>
          </w:p>
        </w:tc>
        <w:tc>
          <w:tcPr>
            <w:tcW w:w="1535" w:type="dxa"/>
            <w:tcBorders>
              <w:bottom w:val="single" w:sz="4" w:space="0" w:color="auto"/>
            </w:tcBorders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A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B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C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D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E</w:t>
            </w:r>
          </w:p>
        </w:tc>
      </w:tr>
      <w:tr w:rsidR="00BC47FC" w:rsidTr="004D2853">
        <w:tc>
          <w:tcPr>
            <w:tcW w:w="1535" w:type="dxa"/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A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0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26.90752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37.99007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42.95258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21.78954</w:t>
            </w:r>
          </w:p>
        </w:tc>
      </w:tr>
      <w:tr w:rsidR="00BC47FC" w:rsidTr="004D2853">
        <w:tc>
          <w:tcPr>
            <w:tcW w:w="1535" w:type="dxa"/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B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26.90752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0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26.99571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51.17411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21.86502</w:t>
            </w:r>
          </w:p>
        </w:tc>
      </w:tr>
      <w:tr w:rsidR="00BC47FC" w:rsidTr="004D2853">
        <w:tc>
          <w:tcPr>
            <w:tcW w:w="1535" w:type="dxa"/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C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37.99007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26.99571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0</w:t>
            </w:r>
          </w:p>
        </w:tc>
        <w:tc>
          <w:tcPr>
            <w:tcW w:w="1536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31.28586</w:t>
            </w:r>
          </w:p>
        </w:tc>
        <w:tc>
          <w:tcPr>
            <w:tcW w:w="1536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15.94832</w:t>
            </w:r>
          </w:p>
        </w:tc>
      </w:tr>
      <w:tr w:rsidR="00BC47FC" w:rsidTr="004D2853">
        <w:tc>
          <w:tcPr>
            <w:tcW w:w="1535" w:type="dxa"/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D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42.95258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51.17411</w:t>
            </w:r>
          </w:p>
        </w:tc>
        <w:tc>
          <w:tcPr>
            <w:tcW w:w="1535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31.28586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0</w:t>
            </w:r>
          </w:p>
        </w:tc>
        <w:tc>
          <w:tcPr>
            <w:tcW w:w="1536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29.46751</w:t>
            </w:r>
          </w:p>
        </w:tc>
      </w:tr>
      <w:tr w:rsidR="00BC47FC" w:rsidTr="004D2853">
        <w:tc>
          <w:tcPr>
            <w:tcW w:w="1535" w:type="dxa"/>
            <w:shd w:val="pct25" w:color="auto" w:fill="auto"/>
          </w:tcPr>
          <w:p w:rsidR="00BC47FC" w:rsidRPr="00364209" w:rsidRDefault="00BC47FC" w:rsidP="00BC47FC">
            <w:pPr>
              <w:jc w:val="center"/>
              <w:rPr>
                <w:b/>
                <w:bCs/>
              </w:rPr>
            </w:pPr>
            <w:r w:rsidRPr="00364209">
              <w:rPr>
                <w:b/>
                <w:bCs/>
              </w:rPr>
              <w:t>E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21.78954</w:t>
            </w:r>
          </w:p>
        </w:tc>
        <w:tc>
          <w:tcPr>
            <w:tcW w:w="1535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21.86502</w:t>
            </w:r>
          </w:p>
        </w:tc>
        <w:tc>
          <w:tcPr>
            <w:tcW w:w="1535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15.94832</w:t>
            </w:r>
          </w:p>
        </w:tc>
        <w:tc>
          <w:tcPr>
            <w:tcW w:w="1536" w:type="dxa"/>
            <w:shd w:val="clear" w:color="auto" w:fill="auto"/>
          </w:tcPr>
          <w:p w:rsidR="00BC47FC" w:rsidRDefault="004D2853" w:rsidP="00BC47FC">
            <w:pPr>
              <w:jc w:val="center"/>
            </w:pPr>
            <w:r>
              <w:t>29.46751</w:t>
            </w:r>
          </w:p>
        </w:tc>
        <w:tc>
          <w:tcPr>
            <w:tcW w:w="1536" w:type="dxa"/>
            <w:shd w:val="clear" w:color="auto" w:fill="auto"/>
          </w:tcPr>
          <w:p w:rsidR="00BC47FC" w:rsidRDefault="00BC47FC" w:rsidP="00BC47FC">
            <w:pPr>
              <w:jc w:val="center"/>
            </w:pPr>
            <w:r>
              <w:t>0</w:t>
            </w:r>
          </w:p>
        </w:tc>
      </w:tr>
    </w:tbl>
    <w:p w:rsidR="00F76D78" w:rsidRPr="004D2853" w:rsidRDefault="004D2853" w:rsidP="004D2853">
      <w:pPr>
        <w:jc w:val="center"/>
        <w:rPr>
          <w:sz w:val="18"/>
          <w:szCs w:val="18"/>
        </w:rPr>
      </w:pPr>
      <w:r w:rsidRPr="004D2853">
        <w:rPr>
          <w:sz w:val="18"/>
          <w:szCs w:val="18"/>
        </w:rPr>
        <w:t>Tabel 1: Onderlinge afstanden tussen de verschillende meetstations uitgedrukt in kilometer.</w:t>
      </w:r>
    </w:p>
    <w:tbl>
      <w:tblPr>
        <w:tblpPr w:leftFromText="141" w:rightFromText="141" w:vertAnchor="text" w:horzAnchor="page" w:tblpX="2091" w:tblpY="12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/>
      </w:tblPr>
      <w:tblGrid>
        <w:gridCol w:w="796"/>
        <w:gridCol w:w="1485"/>
      </w:tblGrid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364209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lastRenderedPageBreak/>
              <w:t>Meting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364209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t>Neerslag (mm)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364209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64209">
              <w:rPr>
                <w:rFonts w:eastAsia="Times New Roman" w:cstheme="minorHAnsi"/>
              </w:rPr>
              <w:t>4568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364209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64209">
              <w:rPr>
                <w:rFonts w:cstheme="minorHAnsi"/>
              </w:rPr>
              <w:t>21,90544971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4569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2,999977298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0,098344382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2,026295015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1,229175243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6,301305009</w:t>
            </w:r>
          </w:p>
        </w:tc>
      </w:tr>
      <w:tr w:rsidR="00364209" w:rsidRPr="007A4B48" w:rsidTr="00364209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64209" w:rsidRPr="007A4B48" w:rsidRDefault="00364209" w:rsidP="0036420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10,59082521</w:t>
            </w:r>
          </w:p>
        </w:tc>
      </w:tr>
    </w:tbl>
    <w:p w:rsidR="007A4B48" w:rsidRDefault="007A4B48" w:rsidP="007A4B48">
      <w:pPr>
        <w:pStyle w:val="Lijstalinea"/>
        <w:numPr>
          <w:ilvl w:val="0"/>
          <w:numId w:val="1"/>
        </w:numPr>
      </w:pPr>
      <w:r>
        <w:t>Er wordt gebruik gemaakt van de genormaliseerde verhoudingsmethode voor de drie dichtstbijzijnde meetstations: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  <w:r>
        <w:br/>
      </w:r>
    </w:p>
    <w:p w:rsidR="00952130" w:rsidRDefault="00364209" w:rsidP="007A4B48">
      <w:r w:rsidRPr="002875FF">
        <w:rPr>
          <w:noProof/>
          <w:lang w:val="nl-NL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.2pt;margin-top:89.1pt;width:114.45pt;height:60pt;z-index:251660288;mso-width-relative:margin;mso-height-relative:margin" filled="f" stroked="f">
            <v:textbox>
              <w:txbxContent>
                <w:p w:rsidR="00364209" w:rsidRPr="00364209" w:rsidRDefault="00364209" w:rsidP="00364209">
                  <w:pPr>
                    <w:rPr>
                      <w:sz w:val="18"/>
                      <w:szCs w:val="18"/>
                      <w:lang w:val="nl-NL"/>
                    </w:rPr>
                  </w:pPr>
                  <w:r w:rsidRPr="00364209">
                    <w:rPr>
                      <w:sz w:val="18"/>
                      <w:szCs w:val="18"/>
                      <w:lang w:val="nl-NL"/>
                    </w:rPr>
                    <w:t>Tabel 2: Neerslag in mm berekend aan de hand van de genormaliseerde verhoudingsmethode.</w:t>
                  </w:r>
                </w:p>
              </w:txbxContent>
            </v:textbox>
          </v:shape>
        </w:pict>
      </w:r>
    </w:p>
    <w:p w:rsidR="00952130" w:rsidRPr="00952130" w:rsidRDefault="00952130" w:rsidP="00952130"/>
    <w:p w:rsidR="00952130" w:rsidRPr="00952130" w:rsidRDefault="00952130" w:rsidP="00952130"/>
    <w:p w:rsidR="00952130" w:rsidRPr="00952130" w:rsidRDefault="00952130" w:rsidP="00952130"/>
    <w:p w:rsidR="00952130" w:rsidRPr="00952130" w:rsidRDefault="00952130" w:rsidP="00952130"/>
    <w:p w:rsidR="00952130" w:rsidRDefault="00952130" w:rsidP="00952130"/>
    <w:p w:rsidR="00F76D78" w:rsidRDefault="00952130" w:rsidP="00952130">
      <w:pPr>
        <w:pStyle w:val="Lijstalinea"/>
        <w:numPr>
          <w:ilvl w:val="0"/>
          <w:numId w:val="1"/>
        </w:numPr>
        <w:tabs>
          <w:tab w:val="left" w:pos="1485"/>
        </w:tabs>
      </w:pPr>
      <w:r>
        <w:t>Er wordt gebruik gemaakt van de inverse afstand interpolatie en geven aan elk station een gewicht mee:</w:t>
      </w:r>
      <w: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j,g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j,s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j,s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g=1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-b</m:t>
                      </m:r>
                    </m:sup>
                  </m:sSup>
                </m:e>
              </m:nary>
            </m:den>
          </m:f>
        </m:oMath>
      </m:oMathPara>
    </w:p>
    <w:tbl>
      <w:tblPr>
        <w:tblpPr w:leftFromText="141" w:rightFromText="141" w:vertAnchor="text" w:tblpY="1"/>
        <w:tblOverlap w:val="never"/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/>
      </w:tblPr>
      <w:tblGrid>
        <w:gridCol w:w="974"/>
        <w:gridCol w:w="976"/>
      </w:tblGrid>
      <w:tr w:rsidR="00952130" w:rsidRPr="00952130" w:rsidTr="00952130">
        <w:trPr>
          <w:trHeight w:val="255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952130">
              <w:rPr>
                <w:rFonts w:eastAsia="Times New Roman" w:cstheme="minorHAnsi"/>
              </w:rPr>
              <w:t>Weight</w:t>
            </w:r>
            <w:proofErr w:type="spellEnd"/>
            <w:r w:rsidRPr="00952130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2130">
              <w:rPr>
                <w:rFonts w:eastAsia="Times New Roman" w:cstheme="minorHAnsi"/>
              </w:rPr>
              <w:t>0,280143</w:t>
            </w:r>
          </w:p>
        </w:tc>
      </w:tr>
      <w:tr w:rsidR="00952130" w:rsidRPr="00952130" w:rsidTr="00952130">
        <w:trPr>
          <w:trHeight w:val="255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952130">
              <w:rPr>
                <w:rFonts w:eastAsia="Times New Roman" w:cstheme="minorHAnsi"/>
              </w:rPr>
              <w:t>Weight</w:t>
            </w:r>
            <w:proofErr w:type="spellEnd"/>
            <w:r w:rsidRPr="00952130">
              <w:rPr>
                <w:rFonts w:eastAsia="Times New Roman" w:cstheme="minorHAnsi"/>
              </w:rPr>
              <w:t xml:space="preserve"> 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2130">
              <w:rPr>
                <w:rFonts w:eastAsia="Times New Roman" w:cstheme="minorHAnsi"/>
              </w:rPr>
              <w:t>0</w:t>
            </w:r>
          </w:p>
        </w:tc>
      </w:tr>
      <w:tr w:rsidR="00952130" w:rsidRPr="00952130" w:rsidTr="00952130">
        <w:trPr>
          <w:trHeight w:val="255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952130">
              <w:rPr>
                <w:rFonts w:eastAsia="Times New Roman" w:cstheme="minorHAnsi"/>
              </w:rPr>
              <w:t>Weight</w:t>
            </w:r>
            <w:proofErr w:type="spellEnd"/>
            <w:r w:rsidRPr="00952130">
              <w:rPr>
                <w:rFonts w:eastAsia="Times New Roman" w:cstheme="minorHAnsi"/>
              </w:rPr>
              <w:t xml:space="preserve"> C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2130">
              <w:rPr>
                <w:rFonts w:eastAsia="Times New Roman" w:cstheme="minorHAnsi"/>
              </w:rPr>
              <w:t>0,234402</w:t>
            </w:r>
          </w:p>
        </w:tc>
      </w:tr>
      <w:tr w:rsidR="00952130" w:rsidRPr="00952130" w:rsidTr="00952130">
        <w:trPr>
          <w:trHeight w:val="255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952130">
              <w:rPr>
                <w:rFonts w:eastAsia="Times New Roman" w:cstheme="minorHAnsi"/>
              </w:rPr>
              <w:t>Weight</w:t>
            </w:r>
            <w:proofErr w:type="spellEnd"/>
            <w:r w:rsidRPr="00952130">
              <w:rPr>
                <w:rFonts w:eastAsia="Times New Roman" w:cstheme="minorHAnsi"/>
              </w:rPr>
              <w:t xml:space="preserve"> D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2130">
              <w:rPr>
                <w:rFonts w:eastAsia="Times New Roman" w:cstheme="minorHAnsi"/>
              </w:rPr>
              <w:t>0,154814</w:t>
            </w:r>
          </w:p>
        </w:tc>
      </w:tr>
      <w:tr w:rsidR="00952130" w:rsidRPr="00952130" w:rsidTr="00952130">
        <w:trPr>
          <w:trHeight w:val="255"/>
        </w:trPr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noProof/>
              </w:rPr>
              <w:pict>
                <v:shape id="_x0000_s1028" type="#_x0000_t202" style="position:absolute;left:0;text-align:left;margin-left:-.55pt;margin-top:12.45pt;width:94.45pt;height:60pt;z-index:251661312;mso-position-horizontal-relative:text;mso-position-vertical-relative:text;mso-width-relative:margin;mso-height-relative:margin" filled="f" stroked="f">
                  <v:textbox style="mso-next-textbox:#_x0000_s1028">
                    <w:txbxContent>
                      <w:p w:rsidR="00952130" w:rsidRPr="00364209" w:rsidRDefault="00952130" w:rsidP="00952130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Tabel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3</w:t>
                        </w: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Toekenning van de gewichten aan de verschillende meetstations.</w:t>
                        </w:r>
                      </w:p>
                    </w:txbxContent>
                  </v:textbox>
                </v:shape>
              </w:pict>
            </w:r>
            <w:proofErr w:type="spellStart"/>
            <w:r w:rsidRPr="00952130">
              <w:rPr>
                <w:rFonts w:eastAsia="Times New Roman" w:cstheme="minorHAnsi"/>
              </w:rPr>
              <w:t>Weight</w:t>
            </w:r>
            <w:proofErr w:type="spellEnd"/>
            <w:r w:rsidRPr="00952130">
              <w:rPr>
                <w:rFonts w:eastAsia="Times New Roman" w:cstheme="minorHAnsi"/>
              </w:rPr>
              <w:t xml:space="preserve"> 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52130" w:rsidRPr="00952130" w:rsidRDefault="00952130" w:rsidP="0095213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952130">
              <w:rPr>
                <w:rFonts w:eastAsia="Times New Roman" w:cstheme="minorHAnsi"/>
              </w:rPr>
              <w:t>0,242723</w:t>
            </w:r>
          </w:p>
        </w:tc>
      </w:tr>
    </w:tbl>
    <w:tbl>
      <w:tblPr>
        <w:tblpPr w:leftFromText="141" w:rightFromText="141" w:vertAnchor="text" w:horzAnchor="page" w:tblpX="4311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/>
      </w:tblPr>
      <w:tblGrid>
        <w:gridCol w:w="796"/>
        <w:gridCol w:w="1485"/>
      </w:tblGrid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364209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t>Meting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364209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t>Neerslag (mm)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364209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64209">
              <w:rPr>
                <w:rFonts w:eastAsia="Times New Roman" w:cstheme="minorHAnsi"/>
              </w:rPr>
              <w:t>4568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364209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16,23423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4569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2,901824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0,069856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4,580685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1,469091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6,017282</w:t>
            </w:r>
          </w:p>
        </w:tc>
      </w:tr>
      <w:tr w:rsidR="009D1CB8" w:rsidRPr="007A4B48" w:rsidTr="009D1CB8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noProof/>
              </w:rPr>
              <w:pict>
                <v:shape id="_x0000_s1031" type="#_x0000_t202" style="position:absolute;left:0;text-align:left;margin-left:-2.15pt;margin-top:12.35pt;width:112.6pt;height:60pt;z-index:251662336;mso-position-horizontal-relative:text;mso-position-vertical-relative:text;mso-width-relative:margin;mso-height-relative:margin" filled="f" stroked="f">
                  <v:textbox style="mso-next-textbox:#_x0000_s1031">
                    <w:txbxContent>
                      <w:p w:rsidR="009D1CB8" w:rsidRPr="00364209" w:rsidRDefault="009D1CB8" w:rsidP="009D1CB8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Tabel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4</w:t>
                        </w: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Neerslag in mm berekend aan de hand van inverse afstand interpolatie.</w:t>
                        </w:r>
                      </w:p>
                    </w:txbxContent>
                  </v:textbox>
                </v:shape>
              </w:pict>
            </w:r>
            <w:r w:rsidRPr="007A4B48">
              <w:rPr>
                <w:rFonts w:eastAsia="Times New Roman" w:cstheme="minorHAnsi"/>
              </w:rPr>
              <w:t>4574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D1CB8" w:rsidRPr="007A4B48" w:rsidRDefault="009D1CB8" w:rsidP="009D1C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9,32506</w:t>
            </w:r>
          </w:p>
        </w:tc>
      </w:tr>
    </w:tbl>
    <w:p w:rsidR="009D1CB8" w:rsidRDefault="00952130" w:rsidP="00952130">
      <w:pPr>
        <w:pStyle w:val="Lijstalinea"/>
        <w:tabs>
          <w:tab w:val="left" w:pos="1485"/>
        </w:tabs>
      </w:pPr>
      <w:r>
        <w:br w:type="textWrapping" w:clear="all"/>
      </w:r>
    </w:p>
    <w:p w:rsidR="009D1CB8" w:rsidRPr="009D1CB8" w:rsidRDefault="009D1CB8" w:rsidP="009D1CB8"/>
    <w:p w:rsidR="009D1CB8" w:rsidRPr="00604D21" w:rsidRDefault="00604D21" w:rsidP="009D1CB8">
      <w:pPr>
        <w:tabs>
          <w:tab w:val="left" w:pos="1515"/>
        </w:tabs>
      </w:pPr>
      <w:r>
        <w:rPr>
          <w:b/>
          <w:bCs/>
        </w:rPr>
        <w:t>Interpretatie:</w:t>
      </w:r>
      <w:r>
        <w:rPr>
          <w:b/>
          <w:bCs/>
        </w:rPr>
        <w:br/>
      </w:r>
      <w:r>
        <w:t xml:space="preserve">- We merken op dat beide technieken andere waarden geven, maar toch in dezelfde grootorde. Voor </w:t>
      </w:r>
      <w:r w:rsidR="007A224D">
        <w:br/>
        <w:t xml:space="preserve">  </w:t>
      </w:r>
      <w:r>
        <w:t xml:space="preserve">de genormaliseerde verhoudingsmethode moeten de 3 stations dichtbij gelegen zijn en moeten ze </w:t>
      </w:r>
      <w:r w:rsidR="007A224D">
        <w:br/>
        <w:t xml:space="preserve">  </w:t>
      </w:r>
      <w:r>
        <w:t xml:space="preserve">een hoge correlatie vertonen met de neerslag in het onderzochte station. Bij de inverse afstand </w:t>
      </w:r>
      <w:r w:rsidR="007A224D">
        <w:br/>
        <w:t xml:space="preserve">  </w:t>
      </w:r>
      <w:r>
        <w:t xml:space="preserve">interpolatie wordt er aan elk station een gewicht meegegeven dat zal gaan meetellen in de zwaarte </w:t>
      </w:r>
      <w:r w:rsidR="007A224D">
        <w:br/>
        <w:t xml:space="preserve">  </w:t>
      </w:r>
      <w:r>
        <w:t>waarmee de metingen in dat specifiek station zal meetellen.</w:t>
      </w:r>
    </w:p>
    <w:p w:rsidR="009D1CB8" w:rsidRDefault="009D1CB8">
      <w:r>
        <w:br w:type="page"/>
      </w:r>
    </w:p>
    <w:p w:rsidR="00952130" w:rsidRDefault="009D1CB8" w:rsidP="009D1CB8">
      <w:pPr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>
            <wp:extent cx="5760720" cy="1088318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434944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21" w:rsidRDefault="00604D21" w:rsidP="007A224D">
      <w:r w:rsidRPr="00D70C3E">
        <w:rPr>
          <w:b/>
          <w:bCs/>
        </w:rPr>
        <w:t>Gegeven:</w:t>
      </w:r>
      <w:r>
        <w:t xml:space="preserve"> </w:t>
      </w:r>
      <w:r>
        <w:br/>
        <w:t xml:space="preserve">- </w:t>
      </w:r>
      <w:proofErr w:type="spellStart"/>
      <w:r>
        <w:t>Neerslagtijdreeksen</w:t>
      </w:r>
      <w:proofErr w:type="spellEnd"/>
      <w:r>
        <w:t xml:space="preserve">  van 1988 tot 2001 voor 5 meetstations in een stroomgebied in Oost-  </w:t>
      </w:r>
      <w:r>
        <w:br/>
        <w:t xml:space="preserve">   Vlaanderen.</w:t>
      </w:r>
      <w:r>
        <w:br/>
        <w:t>- Coördinaten van de meetstations en het stroomgebied.</w:t>
      </w:r>
      <w:r>
        <w:br/>
        <w:t>- Ontbrekende gegevens van 2 tot en met 8 juli 2000.</w:t>
      </w:r>
      <w:r w:rsidR="00BE1D6D">
        <w:br/>
        <w:t xml:space="preserve">- Gegevens van 2 tot en met 13 juli 2000 </w:t>
      </w:r>
      <w:r w:rsidR="007A224D">
        <w:t xml:space="preserve">van een oude neerslagmeter met een </w:t>
      </w:r>
      <w:proofErr w:type="spellStart"/>
      <w:r w:rsidR="007A224D">
        <w:t>kantelbaksysteem</w:t>
      </w:r>
      <w:proofErr w:type="spellEnd"/>
      <w:r w:rsidR="007A224D">
        <w:t xml:space="preserve"> dat </w:t>
      </w:r>
      <w:r w:rsidR="007A224D">
        <w:br/>
        <w:t xml:space="preserve">  niet voldoende gekalibreerd was.</w:t>
      </w:r>
    </w:p>
    <w:p w:rsidR="00604D21" w:rsidRDefault="00604D21" w:rsidP="00DE67F5">
      <w:r w:rsidRPr="00D70C3E">
        <w:rPr>
          <w:b/>
          <w:bCs/>
        </w:rPr>
        <w:t>Gevraagd:</w:t>
      </w:r>
      <w:r w:rsidRPr="00D70C3E">
        <w:rPr>
          <w:b/>
          <w:bCs/>
        </w:rPr>
        <w:br/>
      </w:r>
      <w:r>
        <w:t xml:space="preserve">- Ontbrekende gegevens van 2 tot en met 8 juli 2000 aanvullen met </w:t>
      </w:r>
      <w:r w:rsidR="00DE67F5">
        <w:t xml:space="preserve">de gecorrigeerde gegevens van </w:t>
      </w:r>
      <w:r w:rsidR="00DE67F5">
        <w:br/>
        <w:t xml:space="preserve">  de oude neerslagmeter.</w:t>
      </w:r>
    </w:p>
    <w:tbl>
      <w:tblPr>
        <w:tblpPr w:leftFromText="141" w:rightFromText="141" w:vertAnchor="text" w:horzAnchor="margin" w:tblpXSpec="right" w:tblpY="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/>
      </w:tblPr>
      <w:tblGrid>
        <w:gridCol w:w="796"/>
        <w:gridCol w:w="1485"/>
      </w:tblGrid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364209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t>Meting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364209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64209">
              <w:rPr>
                <w:rFonts w:eastAsia="Times New Roman" w:cstheme="minorHAnsi"/>
                <w:b/>
                <w:bCs/>
              </w:rPr>
              <w:t>Neerslag (mm)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364209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364209">
              <w:rPr>
                <w:rFonts w:eastAsia="Times New Roman" w:cstheme="minorHAnsi"/>
              </w:rPr>
              <w:t>4568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364209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25,17315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4569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11,98311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0,</w:t>
            </w:r>
            <w:r>
              <w:rPr>
                <w:rFonts w:eastAsia="Times New Roman" w:cstheme="minorHAnsi"/>
              </w:rPr>
              <w:t>086209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0.344838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4,051842</w:t>
            </w:r>
          </w:p>
        </w:tc>
      </w:tr>
      <w:tr w:rsidR="003B1B2F" w:rsidRPr="007A4B48" w:rsidTr="003B1B2F">
        <w:trPr>
          <w:trHeight w:val="255"/>
        </w:trPr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A4B48">
              <w:rPr>
                <w:rFonts w:eastAsia="Times New Roman" w:cstheme="minorHAnsi"/>
              </w:rPr>
              <w:t>4574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3B1B2F" w:rsidRPr="007A4B48" w:rsidRDefault="003B1B2F" w:rsidP="003B1B2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9,</w:t>
            </w:r>
            <w:r>
              <w:rPr>
                <w:rFonts w:eastAsia="Times New Roman" w:cstheme="minorHAnsi"/>
              </w:rPr>
              <w:t>483034</w:t>
            </w:r>
          </w:p>
        </w:tc>
      </w:tr>
    </w:tbl>
    <w:p w:rsidR="00604D21" w:rsidRDefault="00604D21" w:rsidP="00DE67F5">
      <w:r>
        <w:rPr>
          <w:b/>
          <w:bCs/>
        </w:rPr>
        <w:t>Antwoord:</w:t>
      </w:r>
      <w:r>
        <w:br/>
        <w:t xml:space="preserve">- </w:t>
      </w:r>
      <w:r w:rsidR="00DE67F5">
        <w:t xml:space="preserve">De verhouding van de neerslag tussen de oude neerslagmeter en de nieuwe neerslagmeter wordt </w:t>
      </w:r>
      <w:r w:rsidR="00DE67F5">
        <w:br/>
        <w:t xml:space="preserve">  genomen op de dagen dat er van beide meters gegevens zijn.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75"/>
        <w:gridCol w:w="2264"/>
        <w:gridCol w:w="1308"/>
      </w:tblGrid>
      <w:tr w:rsidR="003B1B2F" w:rsidRPr="003B1B2F" w:rsidTr="003B1B2F">
        <w:trPr>
          <w:trHeight w:val="255"/>
        </w:trPr>
        <w:tc>
          <w:tcPr>
            <w:tcW w:w="0" w:type="auto"/>
            <w:shd w:val="pct25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Oude neerslagmeter</w:t>
            </w:r>
          </w:p>
        </w:tc>
        <w:tc>
          <w:tcPr>
            <w:tcW w:w="0" w:type="auto"/>
            <w:shd w:val="pct25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Nieuwe neerslagmeter</w:t>
            </w:r>
          </w:p>
        </w:tc>
        <w:tc>
          <w:tcPr>
            <w:tcW w:w="0" w:type="auto"/>
            <w:shd w:val="pct25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Verhouding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10,9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9,0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0,8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5,7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4,8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0,842105263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4,4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3,5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0,795454545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14,4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sz w:val="20"/>
                <w:szCs w:val="20"/>
              </w:rPr>
              <w:t>0,847222222</w:t>
            </w: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B1B2F" w:rsidRPr="003B1B2F" w:rsidTr="003B1B2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center"/>
            <w:hideMark/>
          </w:tcPr>
          <w:p w:rsidR="003B1B2F" w:rsidRPr="003B1B2F" w:rsidRDefault="003B1B2F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B1B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Gemiddeld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2F" w:rsidRPr="003B1B2F" w:rsidRDefault="00713E6C" w:rsidP="003B1B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6" type="#_x0000_t202" style="position:absolute;left:0;text-align:left;margin-left:111.15pt;margin-top:1.1pt;width:140.35pt;height:60pt;z-index:251664384;mso-position-horizontal-relative:text;mso-position-vertical-relative:text;mso-width-relative:margin;mso-height-relative:margin" filled="f" stroked="f">
                  <v:textbox style="mso-next-textbox:#_x0000_s1036">
                    <w:txbxContent>
                      <w:p w:rsidR="003B1B2F" w:rsidRPr="00364209" w:rsidRDefault="003B1B2F" w:rsidP="003B1B2F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Tabel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6</w:t>
                        </w:r>
                        <w:r w:rsidRPr="00364209">
                          <w:rPr>
                            <w:sz w:val="18"/>
                            <w:szCs w:val="18"/>
                            <w:lang w:val="nl-NL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 xml:space="preserve">Neerslag in mm berekend aan de hand van 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de gecorrigeerde oude regenmeter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3B1B2F" w:rsidRPr="003B1B2F">
              <w:rPr>
                <w:rFonts w:ascii="Arial" w:eastAsia="Times New Roman" w:hAnsi="Arial" w:cs="Arial"/>
                <w:sz w:val="20"/>
                <w:szCs w:val="20"/>
              </w:rPr>
              <w:t>0,9</w:t>
            </w:r>
          </w:p>
        </w:tc>
      </w:tr>
    </w:tbl>
    <w:p w:rsidR="003B1B2F" w:rsidRDefault="003B1B2F" w:rsidP="003B1B2F">
      <w:pPr>
        <w:tabs>
          <w:tab w:val="left" w:pos="151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  <w:r w:rsidRPr="003B1B2F">
        <w:rPr>
          <w:sz w:val="18"/>
          <w:szCs w:val="18"/>
        </w:rPr>
        <w:t>Tabel 5: Bepaling van correctiefactor.</w:t>
      </w:r>
    </w:p>
    <w:p w:rsidR="00D540C8" w:rsidRPr="00D540C8" w:rsidRDefault="00D540C8" w:rsidP="00D540C8">
      <w:pPr>
        <w:tabs>
          <w:tab w:val="left" w:pos="1515"/>
        </w:tabs>
      </w:pPr>
      <w:r>
        <w:rPr>
          <w:b/>
          <w:bCs/>
        </w:rPr>
        <w:t>Interpretatie:</w:t>
      </w:r>
      <w:r>
        <w:rPr>
          <w:b/>
          <w:bCs/>
        </w:rPr>
        <w:br/>
      </w:r>
      <w:r>
        <w:t>- We merken op dat er grote afwijkingen zijn van de geschatte waarden met de gecorrigeerde resultaten, dit valt waarschijnlijk te wijten aan plaatselijke buien.</w:t>
      </w:r>
    </w:p>
    <w:p w:rsidR="00604D21" w:rsidRDefault="003E428F" w:rsidP="00713E6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60720" cy="1119689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8F" w:rsidRDefault="003E428F" w:rsidP="003E428F">
      <w:r w:rsidRPr="00D70C3E">
        <w:rPr>
          <w:b/>
          <w:bCs/>
        </w:rPr>
        <w:t>Gegeven:</w:t>
      </w:r>
      <w:r>
        <w:t xml:space="preserve"> </w:t>
      </w:r>
      <w:r>
        <w:br/>
        <w:t xml:space="preserve">- </w:t>
      </w:r>
      <w:proofErr w:type="spellStart"/>
      <w:r>
        <w:t>Neerslagtijdreeksen</w:t>
      </w:r>
      <w:proofErr w:type="spellEnd"/>
      <w:r>
        <w:t xml:space="preserve">  van 1988 tot 2001 voor 5 meetstations in een stroomgebied in Oost-  </w:t>
      </w:r>
      <w:r>
        <w:br/>
        <w:t xml:space="preserve">   Vlaanderen.</w:t>
      </w:r>
      <w:r>
        <w:br/>
        <w:t>- Coördinaten van de meetstations en het stroomgebied.</w:t>
      </w:r>
      <w:r>
        <w:br/>
        <w:t>- Gecorrigeerde gegevens van 2 tot en met 8 juli 2000.</w:t>
      </w:r>
    </w:p>
    <w:p w:rsidR="003E428F" w:rsidRDefault="003E428F" w:rsidP="003E428F">
      <w:r w:rsidRPr="00D70C3E">
        <w:rPr>
          <w:b/>
          <w:bCs/>
        </w:rPr>
        <w:t>Gevraagd:</w:t>
      </w:r>
      <w:r w:rsidRPr="00D70C3E">
        <w:rPr>
          <w:b/>
          <w:bCs/>
        </w:rPr>
        <w:br/>
      </w:r>
      <w:r>
        <w:t xml:space="preserve">- Bepalen van het fouten genererende station aan de hand van double </w:t>
      </w:r>
      <w:proofErr w:type="spellStart"/>
      <w:r>
        <w:t>mass</w:t>
      </w:r>
      <w:proofErr w:type="spellEnd"/>
      <w:r>
        <w:t xml:space="preserve"> curven.</w:t>
      </w:r>
    </w:p>
    <w:p w:rsidR="003E428F" w:rsidRDefault="003E428F" w:rsidP="003E428F">
      <w:r>
        <w:rPr>
          <w:b/>
          <w:bCs/>
        </w:rPr>
        <w:t>Antwoord:</w:t>
      </w:r>
      <w:r>
        <w:br/>
        <w:t>- De opeenvolgende cumulatieve jaarlijkse neerslag van een station wordt uitgezet tegenover de opeenvolgende cumulatieve jaarlijkse neerslag voor dezelfde periode gemeten in hetzelfde gebied.</w:t>
      </w:r>
    </w:p>
    <w:p w:rsidR="003E428F" w:rsidRDefault="003E428F" w:rsidP="00364E1D">
      <w:r w:rsidRPr="003E428F">
        <w:drawing>
          <wp:inline distT="0" distB="0" distL="0" distR="0">
            <wp:extent cx="5760720" cy="2736000"/>
            <wp:effectExtent l="19050" t="0" r="11430" b="72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3E428F">
        <w:rPr>
          <w:noProof/>
        </w:rPr>
        <w:t xml:space="preserve"> </w:t>
      </w:r>
      <w:r w:rsidRPr="003E428F">
        <w:lastRenderedPageBreak/>
        <w:drawing>
          <wp:inline distT="0" distB="0" distL="0" distR="0">
            <wp:extent cx="5760720" cy="2736000"/>
            <wp:effectExtent l="19050" t="0" r="11430" b="720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3E428F">
        <w:rPr>
          <w:noProof/>
        </w:rPr>
        <w:drawing>
          <wp:inline distT="0" distB="0" distL="0" distR="0">
            <wp:extent cx="5760720" cy="2736000"/>
            <wp:effectExtent l="19050" t="0" r="11430" b="7200"/>
            <wp:docPr id="5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E428F">
        <w:rPr>
          <w:noProof/>
        </w:rPr>
        <w:drawing>
          <wp:inline distT="0" distB="0" distL="0" distR="0">
            <wp:extent cx="5760720" cy="2736000"/>
            <wp:effectExtent l="19050" t="0" r="11430" b="7200"/>
            <wp:docPr id="8" name="Grafie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E428F" w:rsidRDefault="00364E1D" w:rsidP="00713E6C">
      <w:pPr>
        <w:rPr>
          <w:sz w:val="18"/>
          <w:szCs w:val="18"/>
        </w:rPr>
      </w:pPr>
      <w:r w:rsidRPr="00364E1D">
        <w:rPr>
          <w:sz w:val="18"/>
          <w:szCs w:val="18"/>
        </w:rPr>
        <w:lastRenderedPageBreak/>
        <w:drawing>
          <wp:inline distT="0" distB="0" distL="0" distR="0">
            <wp:extent cx="5760720" cy="2736000"/>
            <wp:effectExtent l="19050" t="0" r="11430" b="7200"/>
            <wp:docPr id="9" name="Grafie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94848" w:rsidRPr="00E91031" w:rsidRDefault="0004165D" w:rsidP="00E91031">
      <w:pPr>
        <w:rPr>
          <w:sz w:val="18"/>
          <w:szCs w:val="18"/>
        </w:rPr>
      </w:pPr>
      <w:r>
        <w:t xml:space="preserve">- </w:t>
      </w:r>
      <w:r w:rsidR="00364E1D" w:rsidRPr="0004165D">
        <w:t xml:space="preserve">Aan de hand van de dubbele sommatiekrommen wordt bepaald dat station A </w:t>
      </w:r>
      <w:r>
        <w:t xml:space="preserve">gecorrigeerd moet worden </w:t>
      </w:r>
      <w:r w:rsidR="00364E1D" w:rsidRPr="0004165D">
        <w:t>met een factor K:</w:t>
      </w:r>
      <w:r>
        <w:t xml:space="preserve"> </w:t>
      </w:r>
      <w:r>
        <w:rPr>
          <w:sz w:val="18"/>
          <w:szCs w:val="18"/>
        </w:rPr>
        <w:t xml:space="preserve">   </w:t>
      </w:r>
      <m:oMath>
        <m:r>
          <w:rPr>
            <w:rFonts w:ascii="Cambria Math" w:hAnsi="Cambria Math"/>
            <w:sz w:val="18"/>
            <w:szCs w:val="18"/>
          </w:rPr>
          <m:t>K=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Helling tijdens de periode na de hellingsverandering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Hellings tijdens de periode voor de hellingsverandering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1,0803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540,48</m:t>
            </m:r>
          </m:den>
        </m:f>
        <m:r>
          <w:rPr>
            <w:rFonts w:ascii="Cambria Math" w:hAnsi="Cambria Math"/>
            <w:sz w:val="18"/>
            <w:szCs w:val="18"/>
          </w:rPr>
          <m:t>=0,0</m:t>
        </m:r>
      </m:oMath>
      <w:r>
        <w:rPr>
          <w:sz w:val="18"/>
          <w:szCs w:val="18"/>
        </w:rPr>
        <w:t>02</w:t>
      </w:r>
      <w:r w:rsidR="00364E1D" w:rsidRPr="00364E1D">
        <w:rPr>
          <w:sz w:val="18"/>
          <w:szCs w:val="18"/>
        </w:rPr>
        <w:drawing>
          <wp:inline distT="0" distB="0" distL="0" distR="0">
            <wp:extent cx="5760720" cy="2736000"/>
            <wp:effectExtent l="19050" t="0" r="11430" b="7200"/>
            <wp:docPr id="11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04165D">
        <w:rPr>
          <w:sz w:val="18"/>
          <w:szCs w:val="18"/>
        </w:rPr>
        <w:drawing>
          <wp:inline distT="0" distB="0" distL="0" distR="0">
            <wp:extent cx="5760720" cy="2736000"/>
            <wp:effectExtent l="19050" t="0" r="11430" b="7200"/>
            <wp:docPr id="12" name="Grafie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B94848" w:rsidRPr="00E91031" w:rsidSect="00747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4120"/>
    <w:multiLevelType w:val="hybridMultilevel"/>
    <w:tmpl w:val="FB72DE12"/>
    <w:lvl w:ilvl="0" w:tplc="29F62AE4">
      <w:start w:val="2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76D78"/>
    <w:rsid w:val="0004165D"/>
    <w:rsid w:val="001D39E2"/>
    <w:rsid w:val="00364209"/>
    <w:rsid w:val="00364E1D"/>
    <w:rsid w:val="003B1B2F"/>
    <w:rsid w:val="003E428F"/>
    <w:rsid w:val="004D2853"/>
    <w:rsid w:val="00604D21"/>
    <w:rsid w:val="00713E6C"/>
    <w:rsid w:val="00747096"/>
    <w:rsid w:val="007A224D"/>
    <w:rsid w:val="007A4B48"/>
    <w:rsid w:val="008E1F50"/>
    <w:rsid w:val="00952130"/>
    <w:rsid w:val="009D1CB8"/>
    <w:rsid w:val="009D4A04"/>
    <w:rsid w:val="00A57D81"/>
    <w:rsid w:val="00B94848"/>
    <w:rsid w:val="00BC47FC"/>
    <w:rsid w:val="00BE1D6D"/>
    <w:rsid w:val="00C367AE"/>
    <w:rsid w:val="00D540C8"/>
    <w:rsid w:val="00DE67F5"/>
    <w:rsid w:val="00E91031"/>
    <w:rsid w:val="00E925FF"/>
    <w:rsid w:val="00F31031"/>
    <w:rsid w:val="00F7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4709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6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7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76D78"/>
    <w:rPr>
      <w:rFonts w:ascii="Tahoma" w:hAnsi="Tahoma" w:cs="Tahoma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D7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C4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A4B4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A4B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in\Dropbox\Ua%202011-2012\Hydrologie%20&amp;%20Klimatologie\Practicum\neerslagdata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 1: Dubbele sommatiekromme station 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</c:v>
          </c:tx>
          <c:trendline>
            <c:trendlineType val="linear"/>
            <c:dispRSqr val="1"/>
            <c:dispEq val="1"/>
            <c:trendlineLbl>
              <c:layout>
                <c:manualLayout>
                  <c:x val="-0.19910804899387577"/>
                  <c:y val="-3.5906969962088071E-4"/>
                </c:manualLayout>
              </c:layout>
              <c:numFmt formatCode="General" sourceLinked="0"/>
            </c:trendlineLbl>
          </c:trendline>
          <c:cat>
            <c:numRef>
              <c:f>Berekeningen!$H$2:$H$15</c:f>
              <c:numCache>
                <c:formatCode>General</c:formatCode>
                <c:ptCount val="14"/>
                <c:pt idx="0">
                  <c:v>939.66019960296751</c:v>
                </c:pt>
                <c:pt idx="1">
                  <c:v>1809.2488458451467</c:v>
                </c:pt>
                <c:pt idx="2">
                  <c:v>2490.8164794895574</c:v>
                </c:pt>
                <c:pt idx="3">
                  <c:v>3252.3094565726747</c:v>
                </c:pt>
                <c:pt idx="4">
                  <c:v>4361.3979018428663</c:v>
                </c:pt>
                <c:pt idx="5">
                  <c:v>5375.1540827132139</c:v>
                </c:pt>
                <c:pt idx="6">
                  <c:v>6290.7142823161803</c:v>
                </c:pt>
                <c:pt idx="7">
                  <c:v>7109.1279285583623</c:v>
                </c:pt>
                <c:pt idx="8">
                  <c:v>7810.1922781460544</c:v>
                </c:pt>
                <c:pt idx="9">
                  <c:v>8561.0263303949978</c:v>
                </c:pt>
                <c:pt idx="10">
                  <c:v>9618.4103345990843</c:v>
                </c:pt>
                <c:pt idx="11">
                  <c:v>10571.346266573568</c:v>
                </c:pt>
                <c:pt idx="12">
                  <c:v>11597.872192726423</c:v>
                </c:pt>
                <c:pt idx="13">
                  <c:v>12652.761095472937</c:v>
                </c:pt>
              </c:numCache>
            </c:numRef>
          </c:cat>
          <c:val>
            <c:numRef>
              <c:f>Berekeningen!$B$2:$B$15</c:f>
              <c:numCache>
                <c:formatCode>General</c:formatCode>
                <c:ptCount val="14"/>
                <c:pt idx="0">
                  <c:v>586.15999999999974</c:v>
                </c:pt>
                <c:pt idx="1">
                  <c:v>1087.4560000000001</c:v>
                </c:pt>
                <c:pt idx="2">
                  <c:v>1559.9200000000003</c:v>
                </c:pt>
                <c:pt idx="3">
                  <c:v>2052.2399999999998</c:v>
                </c:pt>
                <c:pt idx="4">
                  <c:v>2707.08</c:v>
                </c:pt>
                <c:pt idx="5">
                  <c:v>3299.2919999999999</c:v>
                </c:pt>
                <c:pt idx="6">
                  <c:v>4257.6920000000009</c:v>
                </c:pt>
                <c:pt idx="7">
                  <c:v>5199.5920000000015</c:v>
                </c:pt>
                <c:pt idx="8">
                  <c:v>5865.2920000000004</c:v>
                </c:pt>
                <c:pt idx="9">
                  <c:v>6636.5920000000015</c:v>
                </c:pt>
                <c:pt idx="10">
                  <c:v>7779.7920000000004</c:v>
                </c:pt>
                <c:pt idx="11">
                  <c:v>8896.5920000000006</c:v>
                </c:pt>
                <c:pt idx="12">
                  <c:v>10028.992</c:v>
                </c:pt>
                <c:pt idx="13">
                  <c:v>11113.492</c:v>
                </c:pt>
              </c:numCache>
            </c:numRef>
          </c:val>
        </c:ser>
        <c:marker val="1"/>
        <c:axId val="175275392"/>
        <c:axId val="175329280"/>
      </c:lineChart>
      <c:catAx>
        <c:axId val="175275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 stations B-E (mm)</a:t>
                </a:r>
              </a:p>
            </c:rich>
          </c:tx>
        </c:title>
        <c:numFmt formatCode="General" sourceLinked="1"/>
        <c:tickLblPos val="nextTo"/>
        <c:crossAx val="175329280"/>
        <c:crosses val="autoZero"/>
        <c:auto val="1"/>
        <c:lblAlgn val="ctr"/>
        <c:lblOffset val="100"/>
      </c:catAx>
      <c:valAx>
        <c:axId val="175329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 jaarlijkse neerslag, station A (mm)</a:t>
                </a:r>
              </a:p>
            </c:rich>
          </c:tx>
        </c:title>
        <c:numFmt formatCode="General" sourceLinked="1"/>
        <c:tickLblPos val="nextTo"/>
        <c:crossAx val="1752753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 2: Dubbele sommatiekromme station B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</c:v>
          </c:tx>
          <c:trendline>
            <c:trendlineType val="linear"/>
            <c:dispRSqr val="1"/>
            <c:dispEq val="1"/>
            <c:trendlineLbl>
              <c:layout>
                <c:manualLayout>
                  <c:x val="-9.8721784413850044E-2"/>
                  <c:y val="-3.7990985930487539E-2"/>
                </c:manualLayout>
              </c:layout>
              <c:numFmt formatCode="General" sourceLinked="0"/>
            </c:trendlineLbl>
          </c:trendline>
          <c:cat>
            <c:numRef>
              <c:f>Berekeningen!$I$2:$I$16</c:f>
              <c:numCache>
                <c:formatCode>General</c:formatCode>
                <c:ptCount val="15"/>
                <c:pt idx="0">
                  <c:v>854.67519960296772</c:v>
                </c:pt>
                <c:pt idx="1">
                  <c:v>1643.8878458451461</c:v>
                </c:pt>
                <c:pt idx="2">
                  <c:v>2273.9964794895577</c:v>
                </c:pt>
                <c:pt idx="3">
                  <c:v>2971.8944565726747</c:v>
                </c:pt>
                <c:pt idx="4">
                  <c:v>3976.2679018428657</c:v>
                </c:pt>
                <c:pt idx="5">
                  <c:v>4893.4520827132128</c:v>
                </c:pt>
                <c:pt idx="6">
                  <c:v>5809.5372823161806</c:v>
                </c:pt>
                <c:pt idx="7">
                  <c:v>6643.8259285583617</c:v>
                </c:pt>
                <c:pt idx="8">
                  <c:v>7328.4902781460532</c:v>
                </c:pt>
                <c:pt idx="9">
                  <c:v>8077.3243303949994</c:v>
                </c:pt>
                <c:pt idx="10">
                  <c:v>9134.6333345990843</c:v>
                </c:pt>
                <c:pt idx="11">
                  <c:v>10121.069266573566</c:v>
                </c:pt>
                <c:pt idx="12">
                  <c:v>11147.927607476422</c:v>
                </c:pt>
                <c:pt idx="13">
                  <c:v>12185.416510222934</c:v>
                </c:pt>
              </c:numCache>
            </c:numRef>
          </c:cat>
          <c:val>
            <c:numRef>
              <c:f>Berekeningen!$C$2:$C$15</c:f>
              <c:numCache>
                <c:formatCode>General</c:formatCode>
                <c:ptCount val="14"/>
                <c:pt idx="0">
                  <c:v>926.0999999999998</c:v>
                </c:pt>
                <c:pt idx="1">
                  <c:v>1748.9</c:v>
                </c:pt>
                <c:pt idx="2">
                  <c:v>2427.2000000000003</c:v>
                </c:pt>
                <c:pt idx="3">
                  <c:v>3173.9</c:v>
                </c:pt>
                <c:pt idx="4">
                  <c:v>4247.6000000000004</c:v>
                </c:pt>
                <c:pt idx="5">
                  <c:v>5226.1000000000004</c:v>
                </c:pt>
                <c:pt idx="6">
                  <c:v>6182.4000000000005</c:v>
                </c:pt>
                <c:pt idx="7">
                  <c:v>7060.8000000000011</c:v>
                </c:pt>
                <c:pt idx="8">
                  <c:v>7792.1000000000013</c:v>
                </c:pt>
                <c:pt idx="9">
                  <c:v>8571.4000000000015</c:v>
                </c:pt>
                <c:pt idx="10">
                  <c:v>9714.9000000000015</c:v>
                </c:pt>
                <c:pt idx="11">
                  <c:v>10697.700000000004</c:v>
                </c:pt>
                <c:pt idx="12">
                  <c:v>11828.770341000005</c:v>
                </c:pt>
                <c:pt idx="13">
                  <c:v>12982.870341000003</c:v>
                </c:pt>
              </c:numCache>
            </c:numRef>
          </c:val>
        </c:ser>
        <c:marker val="1"/>
        <c:axId val="193906176"/>
        <c:axId val="194155264"/>
      </c:lineChart>
      <c:catAx>
        <c:axId val="193906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</a:t>
                </a:r>
                <a:r>
                  <a:rPr lang="nl-BE" baseline="0"/>
                  <a:t> stations A, C-E (mm)</a:t>
                </a:r>
                <a:r>
                  <a:rPr lang="nl-BE"/>
                  <a:t> </a:t>
                </a:r>
              </a:p>
            </c:rich>
          </c:tx>
        </c:title>
        <c:numFmt formatCode="General" sourceLinked="1"/>
        <c:tickLblPos val="nextTo"/>
        <c:crossAx val="194155264"/>
        <c:crosses val="autoZero"/>
        <c:auto val="1"/>
        <c:lblAlgn val="ctr"/>
        <c:lblOffset val="100"/>
      </c:catAx>
      <c:valAx>
        <c:axId val="1941552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 jaarlijkse neerslag, station B (mm)</a:t>
                </a:r>
              </a:p>
            </c:rich>
          </c:tx>
        </c:title>
        <c:numFmt formatCode="General" sourceLinked="1"/>
        <c:tickLblPos val="nextTo"/>
        <c:crossAx val="1939061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 3:</a:t>
            </a:r>
            <a:r>
              <a:rPr lang="en-US" baseline="0"/>
              <a:t> Dubbele sommatiekromme station C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C</c:v>
          </c:tx>
          <c:trendline>
            <c:trendlineType val="linear"/>
            <c:dispRSqr val="1"/>
            <c:dispEq val="1"/>
            <c:trendlineLbl>
              <c:layout>
                <c:manualLayout>
                  <c:x val="-8.2596227829737634E-2"/>
                  <c:y val="-2.5879346582643195E-2"/>
                </c:manualLayout>
              </c:layout>
              <c:numFmt formatCode="General" sourceLinked="0"/>
            </c:trendlineLbl>
          </c:trendline>
          <c:cat>
            <c:numRef>
              <c:f>Berekeningen!$J$2:$J$15</c:f>
              <c:numCache>
                <c:formatCode>General</c:formatCode>
                <c:ptCount val="14"/>
                <c:pt idx="0">
                  <c:v>847.12519960296777</c:v>
                </c:pt>
                <c:pt idx="1">
                  <c:v>1622.4378458451465</c:v>
                </c:pt>
                <c:pt idx="2">
                  <c:v>2239.2964794895574</c:v>
                </c:pt>
                <c:pt idx="3">
                  <c:v>2929.0444565726739</c:v>
                </c:pt>
                <c:pt idx="4">
                  <c:v>3915.1929018428664</c:v>
                </c:pt>
                <c:pt idx="5">
                  <c:v>4831.4020827132135</c:v>
                </c:pt>
                <c:pt idx="6">
                  <c:v>5771.0622823161812</c:v>
                </c:pt>
                <c:pt idx="7">
                  <c:v>6640.6509285583616</c:v>
                </c:pt>
                <c:pt idx="8">
                  <c:v>7334.4402781460522</c:v>
                </c:pt>
                <c:pt idx="9">
                  <c:v>8097.0993303949981</c:v>
                </c:pt>
                <c:pt idx="10">
                  <c:v>9200.833334599085</c:v>
                </c:pt>
                <c:pt idx="11">
                  <c:v>10215.219266573567</c:v>
                </c:pt>
                <c:pt idx="12">
                  <c:v>11293.820192726422</c:v>
                </c:pt>
                <c:pt idx="13">
                  <c:v>12379.534095472936</c:v>
                </c:pt>
              </c:numCache>
            </c:numRef>
          </c:cat>
          <c:val>
            <c:numRef>
              <c:f>Berekeningen!$D$2:$D$15</c:f>
              <c:numCache>
                <c:formatCode>General</c:formatCode>
                <c:ptCount val="14"/>
                <c:pt idx="0">
                  <c:v>956.29999999999984</c:v>
                </c:pt>
                <c:pt idx="1">
                  <c:v>1834.7000000000003</c:v>
                </c:pt>
                <c:pt idx="2">
                  <c:v>2566</c:v>
                </c:pt>
                <c:pt idx="3">
                  <c:v>3345.2999999999997</c:v>
                </c:pt>
                <c:pt idx="4">
                  <c:v>4491.9000000000005</c:v>
                </c:pt>
                <c:pt idx="5">
                  <c:v>5474.3000000000011</c:v>
                </c:pt>
                <c:pt idx="6">
                  <c:v>6336.3000000000011</c:v>
                </c:pt>
                <c:pt idx="7">
                  <c:v>7073.5000000000018</c:v>
                </c:pt>
                <c:pt idx="8">
                  <c:v>7768.300000000002</c:v>
                </c:pt>
                <c:pt idx="9">
                  <c:v>8492.3000000000011</c:v>
                </c:pt>
                <c:pt idx="10">
                  <c:v>9450.100000000004</c:v>
                </c:pt>
                <c:pt idx="11">
                  <c:v>10321.100000000004</c:v>
                </c:pt>
                <c:pt idx="12">
                  <c:v>11245.200000000004</c:v>
                </c:pt>
                <c:pt idx="13">
                  <c:v>12206.400000000005</c:v>
                </c:pt>
              </c:numCache>
            </c:numRef>
          </c:val>
        </c:ser>
        <c:marker val="1"/>
        <c:axId val="194306816"/>
        <c:axId val="194334720"/>
      </c:lineChart>
      <c:catAx>
        <c:axId val="194306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 station A-B, D-E (mm)</a:t>
                </a:r>
              </a:p>
            </c:rich>
          </c:tx>
        </c:title>
        <c:numFmt formatCode="General" sourceLinked="1"/>
        <c:tickLblPos val="nextTo"/>
        <c:crossAx val="194334720"/>
        <c:crosses val="autoZero"/>
        <c:auto val="1"/>
        <c:lblAlgn val="ctr"/>
        <c:lblOffset val="100"/>
      </c:catAx>
      <c:valAx>
        <c:axId val="1943347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 jaarlijkse neerslag, station C (mm)</a:t>
                </a:r>
              </a:p>
            </c:rich>
          </c:tx>
        </c:title>
        <c:numFmt formatCode="General" sourceLinked="1"/>
        <c:tickLblPos val="nextTo"/>
        <c:crossAx val="19430681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 4: Dubbele sommatiekromme</a:t>
            </a:r>
            <a:r>
              <a:rPr lang="en-US" baseline="0"/>
              <a:t> station D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D</c:v>
          </c:tx>
          <c:trendline>
            <c:trendlineType val="linear"/>
            <c:dispRSqr val="1"/>
            <c:dispEq val="1"/>
            <c:trendlineLbl>
              <c:layout>
                <c:manualLayout>
                  <c:x val="-0.10324711189956379"/>
                  <c:y val="-4.3001905628117142E-2"/>
                </c:manualLayout>
              </c:layout>
              <c:numFmt formatCode="General" sourceLinked="0"/>
            </c:trendlineLbl>
          </c:trendline>
          <c:cat>
            <c:numRef>
              <c:f>Berekeningen!$K$2:$K$15</c:f>
              <c:numCache>
                <c:formatCode>General</c:formatCode>
                <c:ptCount val="14"/>
                <c:pt idx="0">
                  <c:v>904.05873253926893</c:v>
                </c:pt>
                <c:pt idx="1">
                  <c:v>1735.4106916902933</c:v>
                </c:pt>
                <c:pt idx="2">
                  <c:v>2389.6262923124482</c:v>
                </c:pt>
                <c:pt idx="3">
                  <c:v>3125.6472464786807</c:v>
                </c:pt>
                <c:pt idx="4">
                  <c:v>4183.4524703523994</c:v>
                </c:pt>
                <c:pt idx="5">
                  <c:v>5153.340832093093</c:v>
                </c:pt>
                <c:pt idx="6">
                  <c:v>6069.8362312990294</c:v>
                </c:pt>
                <c:pt idx="7">
                  <c:v>6899.1551904500548</c:v>
                </c:pt>
                <c:pt idx="8">
                  <c:v>7594.3505562921064</c:v>
                </c:pt>
                <c:pt idx="9">
                  <c:v>8345.3519941233262</c:v>
                </c:pt>
                <c:pt idx="10">
                  <c:v>9404.5616691981668</c:v>
                </c:pt>
                <c:pt idx="11">
                  <c:v>10377.43353314713</c:v>
                </c:pt>
                <c:pt idx="12">
                  <c:v>11408.97274336951</c:v>
                </c:pt>
                <c:pt idx="13">
                  <c:v>12458.483882195871</c:v>
                </c:pt>
              </c:numCache>
            </c:numRef>
          </c:cat>
          <c:val>
            <c:numRef>
              <c:f>Berekeningen!$E$2:$E$15</c:f>
              <c:numCache>
                <c:formatCode>General</c:formatCode>
                <c:ptCount val="14"/>
                <c:pt idx="0">
                  <c:v>958.4</c:v>
                </c:pt>
                <c:pt idx="1">
                  <c:v>1900.3000000000002</c:v>
                </c:pt>
                <c:pt idx="2">
                  <c:v>2566</c:v>
                </c:pt>
                <c:pt idx="3">
                  <c:v>3337.3</c:v>
                </c:pt>
                <c:pt idx="4">
                  <c:v>4493.4000000000005</c:v>
                </c:pt>
                <c:pt idx="5">
                  <c:v>5608.8</c:v>
                </c:pt>
                <c:pt idx="6">
                  <c:v>6534.9</c:v>
                </c:pt>
                <c:pt idx="7">
                  <c:v>7357.7</c:v>
                </c:pt>
                <c:pt idx="8">
                  <c:v>8036</c:v>
                </c:pt>
                <c:pt idx="9">
                  <c:v>8782.7000000000007</c:v>
                </c:pt>
                <c:pt idx="10">
                  <c:v>9848</c:v>
                </c:pt>
                <c:pt idx="11">
                  <c:v>10826.7</c:v>
                </c:pt>
                <c:pt idx="12">
                  <c:v>11836.400000000001</c:v>
                </c:pt>
                <c:pt idx="13">
                  <c:v>12884.500000000002</c:v>
                </c:pt>
              </c:numCache>
            </c:numRef>
          </c:val>
        </c:ser>
        <c:marker val="1"/>
        <c:axId val="198591232"/>
        <c:axId val="198593536"/>
      </c:lineChart>
      <c:catAx>
        <c:axId val="198591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 stations A-C, E (mm)</a:t>
                </a:r>
              </a:p>
            </c:rich>
          </c:tx>
        </c:title>
        <c:numFmt formatCode="General" sourceLinked="1"/>
        <c:tickLblPos val="nextTo"/>
        <c:crossAx val="198593536"/>
        <c:crosses val="autoZero"/>
        <c:auto val="1"/>
        <c:lblAlgn val="ctr"/>
        <c:lblOffset val="100"/>
      </c:catAx>
      <c:valAx>
        <c:axId val="1985935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</a:t>
                </a:r>
                <a:r>
                  <a:rPr lang="nl-BE" baseline="0"/>
                  <a:t> jaarlijkse neerslag, station D (mm)</a:t>
                </a:r>
                <a:endParaRPr lang="nl-BE"/>
              </a:p>
            </c:rich>
          </c:tx>
        </c:title>
        <c:numFmt formatCode="General" sourceLinked="1"/>
        <c:tickLblPos val="nextTo"/>
        <c:crossAx val="19859123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</a:t>
            </a:r>
            <a:r>
              <a:rPr lang="en-US" baseline="0"/>
              <a:t> 5: Dubbele sommatiekromme station E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E</c:v>
          </c:tx>
          <c:trendline>
            <c:trendlineType val="linear"/>
            <c:dispRSqr val="1"/>
            <c:dispEq val="1"/>
            <c:trendlineLbl>
              <c:layout>
                <c:manualLayout>
                  <c:x val="-6.8468003999500079E-2"/>
                  <c:y val="-4.443923611111112E-2"/>
                </c:manualLayout>
              </c:layout>
              <c:numFmt formatCode="General" sourceLinked="0"/>
            </c:trendlineLbl>
          </c:trendline>
          <c:cat>
            <c:numRef>
              <c:f>Berekeningen!$L$2:$L$15</c:f>
              <c:numCache>
                <c:formatCode>General</c:formatCode>
                <c:ptCount val="14"/>
                <c:pt idx="0">
                  <c:v>846.60019960296768</c:v>
                </c:pt>
                <c:pt idx="1">
                  <c:v>1606.0378458451464</c:v>
                </c:pt>
                <c:pt idx="2">
                  <c:v>2239.2964794895574</c:v>
                </c:pt>
                <c:pt idx="3">
                  <c:v>2931.0444565726739</c:v>
                </c:pt>
                <c:pt idx="4">
                  <c:v>3914.8179018428668</c:v>
                </c:pt>
                <c:pt idx="5">
                  <c:v>4797.7770827132126</c:v>
                </c:pt>
                <c:pt idx="6">
                  <c:v>5721.4122823161815</c:v>
                </c:pt>
                <c:pt idx="7">
                  <c:v>6569.6009285583623</c:v>
                </c:pt>
                <c:pt idx="8">
                  <c:v>7267.5152781460538</c:v>
                </c:pt>
                <c:pt idx="9">
                  <c:v>8024.4993303949996</c:v>
                </c:pt>
                <c:pt idx="10">
                  <c:v>9101.3583345990828</c:v>
                </c:pt>
                <c:pt idx="11">
                  <c:v>10088.819266573566</c:v>
                </c:pt>
                <c:pt idx="12">
                  <c:v>11146.020192726422</c:v>
                </c:pt>
                <c:pt idx="13">
                  <c:v>12210.009095472937</c:v>
                </c:pt>
              </c:numCache>
            </c:numRef>
          </c:cat>
          <c:val>
            <c:numRef>
              <c:f>Berekeningen!$F$2:$F$15</c:f>
              <c:numCache>
                <c:formatCode>General</c:formatCode>
                <c:ptCount val="14"/>
                <c:pt idx="0">
                  <c:v>917.84079841187099</c:v>
                </c:pt>
                <c:pt idx="1">
                  <c:v>1753.0953833805859</c:v>
                </c:pt>
                <c:pt idx="2">
                  <c:v>2404.0659179582303</c:v>
                </c:pt>
                <c:pt idx="3">
                  <c:v>3152.7378262906946</c:v>
                </c:pt>
                <c:pt idx="4">
                  <c:v>4212.6916073714656</c:v>
                </c:pt>
                <c:pt idx="5">
                  <c:v>5191.4163308528532</c:v>
                </c:pt>
                <c:pt idx="6">
                  <c:v>6109.2571292647244</c:v>
                </c:pt>
                <c:pt idx="7">
                  <c:v>6944.5117142334393</c:v>
                </c:pt>
                <c:pt idx="8">
                  <c:v>7644.3691125842133</c:v>
                </c:pt>
                <c:pt idx="9">
                  <c:v>8397.7053215799915</c:v>
                </c:pt>
                <c:pt idx="10">
                  <c:v>9460.6413383963372</c:v>
                </c:pt>
                <c:pt idx="11">
                  <c:v>10439.885066294259</c:v>
                </c:pt>
                <c:pt idx="12">
                  <c:v>11481.118429905684</c:v>
                </c:pt>
                <c:pt idx="13">
                  <c:v>12537.274040891738</c:v>
                </c:pt>
              </c:numCache>
            </c:numRef>
          </c:val>
        </c:ser>
        <c:marker val="1"/>
        <c:axId val="173729664"/>
        <c:axId val="173740032"/>
      </c:lineChart>
      <c:catAx>
        <c:axId val="173729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 stations A-D (mm)</a:t>
                </a:r>
              </a:p>
            </c:rich>
          </c:tx>
        </c:title>
        <c:numFmt formatCode="General" sourceLinked="1"/>
        <c:tickLblPos val="nextTo"/>
        <c:crossAx val="173740032"/>
        <c:crosses val="autoZero"/>
        <c:auto val="1"/>
        <c:lblAlgn val="ctr"/>
        <c:lblOffset val="100"/>
      </c:catAx>
      <c:valAx>
        <c:axId val="173740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 jaarlijkse neerslag, station E (mm)</a:t>
                </a:r>
              </a:p>
            </c:rich>
          </c:tx>
        </c:title>
        <c:numFmt formatCode="General" sourceLinked="1"/>
        <c:tickLblPos val="nextTo"/>
        <c:crossAx val="17372966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>
      <c:tx>
        <c:rich>
          <a:bodyPr/>
          <a:lstStyle/>
          <a:p>
            <a:pPr>
              <a:defRPr/>
            </a:pPr>
            <a:r>
              <a:rPr lang="nl-BE"/>
              <a:t>Grafiek 6: Hellingen</a:t>
            </a:r>
            <a:r>
              <a:rPr lang="nl-BE" baseline="0"/>
              <a:t> voor en na de hellingsverandering</a:t>
            </a:r>
            <a:endParaRPr lang="nl-BE"/>
          </a:p>
        </c:rich>
      </c:tx>
    </c:title>
    <c:plotArea>
      <c:layout/>
      <c:scatterChart>
        <c:scatterStyle val="smoothMarker"/>
        <c:ser>
          <c:idx val="0"/>
          <c:order val="0"/>
          <c:tx>
            <c:v>1988-1993</c:v>
          </c:tx>
          <c:trendline>
            <c:trendlineType val="linear"/>
            <c:dispRSqr val="1"/>
            <c:dispEq val="1"/>
            <c:trendlineLbl>
              <c:layout>
                <c:manualLayout>
                  <c:x val="0.15640319265647354"/>
                  <c:y val="8.5771527777777773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nl-BE" baseline="0"/>
                      <a:t>y = 540.48x - </a:t>
                    </a:r>
                    <a:r>
                      <a:rPr lang="nl-BE" i="0" baseline="0"/>
                      <a:t>9</a:t>
                    </a:r>
                    <a:r>
                      <a:rPr lang="nl-BE" baseline="0"/>
                      <a:t>.6605
R² = 0.996</a:t>
                    </a:r>
                    <a:endParaRPr lang="nl-BE"/>
                  </a:p>
                </c:rich>
              </c:tx>
              <c:numFmt formatCode="General" sourceLinked="0"/>
            </c:trendlineLbl>
          </c:trendline>
          <c:xVal>
            <c:numRef>
              <c:f>Berekeningen!$H$2:$H$7</c:f>
              <c:numCache>
                <c:formatCode>General</c:formatCode>
                <c:ptCount val="6"/>
                <c:pt idx="0">
                  <c:v>939.66019960296751</c:v>
                </c:pt>
                <c:pt idx="1">
                  <c:v>1809.2488458451467</c:v>
                </c:pt>
                <c:pt idx="2">
                  <c:v>2490.8164794895574</c:v>
                </c:pt>
                <c:pt idx="3">
                  <c:v>3252.3094565726747</c:v>
                </c:pt>
                <c:pt idx="4">
                  <c:v>4361.3979018428663</c:v>
                </c:pt>
                <c:pt idx="5">
                  <c:v>5375.1540827132139</c:v>
                </c:pt>
              </c:numCache>
            </c:numRef>
          </c:xVal>
          <c:yVal>
            <c:numRef>
              <c:f>Berekeningen!$B$2:$B$7</c:f>
              <c:numCache>
                <c:formatCode>General</c:formatCode>
                <c:ptCount val="6"/>
                <c:pt idx="0">
                  <c:v>586.15999999999974</c:v>
                </c:pt>
                <c:pt idx="1">
                  <c:v>1087.4560000000001</c:v>
                </c:pt>
                <c:pt idx="2">
                  <c:v>1559.9200000000003</c:v>
                </c:pt>
                <c:pt idx="3">
                  <c:v>2052.2399999999998</c:v>
                </c:pt>
                <c:pt idx="4">
                  <c:v>2707.08</c:v>
                </c:pt>
                <c:pt idx="5">
                  <c:v>3299.2919999999999</c:v>
                </c:pt>
              </c:numCache>
            </c:numRef>
          </c:yVal>
          <c:smooth val="1"/>
        </c:ser>
        <c:ser>
          <c:idx val="1"/>
          <c:order val="1"/>
          <c:tx>
            <c:v>1994-2001</c:v>
          </c:tx>
          <c:trendline>
            <c:trendlineType val="linear"/>
            <c:dispRSqr val="1"/>
            <c:dispEq val="1"/>
            <c:trendlineLbl>
              <c:layout>
                <c:manualLayout>
                  <c:x val="-7.1590025213076294E-2"/>
                  <c:y val="-1.220397170424008E-2"/>
                </c:manualLayout>
              </c:layout>
              <c:numFmt formatCode="General" sourceLinked="0"/>
            </c:trendlineLbl>
          </c:trendline>
          <c:xVal>
            <c:numRef>
              <c:f>Berekeningen!$H$8:$H$15</c:f>
              <c:numCache>
                <c:formatCode>General</c:formatCode>
                <c:ptCount val="8"/>
                <c:pt idx="0">
                  <c:v>6290.7142823161803</c:v>
                </c:pt>
                <c:pt idx="1">
                  <c:v>7109.1279285583623</c:v>
                </c:pt>
                <c:pt idx="2">
                  <c:v>7810.1922781460544</c:v>
                </c:pt>
                <c:pt idx="3">
                  <c:v>8561.0263303949978</c:v>
                </c:pt>
                <c:pt idx="4">
                  <c:v>9618.4103345990843</c:v>
                </c:pt>
                <c:pt idx="5">
                  <c:v>10571.346266573568</c:v>
                </c:pt>
                <c:pt idx="6">
                  <c:v>11597.872192726423</c:v>
                </c:pt>
                <c:pt idx="7">
                  <c:v>12652.761095472937</c:v>
                </c:pt>
              </c:numCache>
            </c:numRef>
          </c:xVal>
          <c:yVal>
            <c:numRef>
              <c:f>Berekeningen!$B$8:$B$15</c:f>
              <c:numCache>
                <c:formatCode>General</c:formatCode>
                <c:ptCount val="8"/>
                <c:pt idx="0">
                  <c:v>4257.6920000000009</c:v>
                </c:pt>
                <c:pt idx="1">
                  <c:v>5199.5920000000015</c:v>
                </c:pt>
                <c:pt idx="2">
                  <c:v>5865.2920000000004</c:v>
                </c:pt>
                <c:pt idx="3">
                  <c:v>6636.5920000000015</c:v>
                </c:pt>
                <c:pt idx="4">
                  <c:v>7779.7920000000004</c:v>
                </c:pt>
                <c:pt idx="5">
                  <c:v>8896.5920000000006</c:v>
                </c:pt>
                <c:pt idx="6">
                  <c:v>10028.992</c:v>
                </c:pt>
                <c:pt idx="7">
                  <c:v>11113.492</c:v>
                </c:pt>
              </c:numCache>
            </c:numRef>
          </c:yVal>
          <c:smooth val="1"/>
        </c:ser>
        <c:axId val="174345600"/>
        <c:axId val="174351872"/>
      </c:scatterChart>
      <c:valAx>
        <c:axId val="17434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</a:t>
                </a:r>
                <a:r>
                  <a:rPr lang="nl-BE" baseline="0"/>
                  <a:t> jaarlijkse neerslag, stations B-E (mm)</a:t>
                </a:r>
                <a:endParaRPr lang="nl-BE"/>
              </a:p>
            </c:rich>
          </c:tx>
        </c:title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nl-BE"/>
          </a:p>
        </c:txPr>
        <c:crossAx val="174351872"/>
        <c:crosses val="autoZero"/>
        <c:crossBetween val="midCat"/>
      </c:valAx>
      <c:valAx>
        <c:axId val="1743518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 jaarlijkse</a:t>
                </a:r>
                <a:r>
                  <a:rPr lang="nl-BE" baseline="0"/>
                  <a:t> neerslag, station A (mm)</a:t>
                </a:r>
                <a:endParaRPr lang="nl-BE"/>
              </a:p>
            </c:rich>
          </c:tx>
        </c:title>
        <c:numFmt formatCode="General" sourceLinked="1"/>
        <c:tickLblPos val="nextTo"/>
        <c:crossAx val="17434560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BE"/>
  <c:chart>
    <c:title>
      <c:tx>
        <c:rich>
          <a:bodyPr/>
          <a:lstStyle/>
          <a:p>
            <a:pPr>
              <a:defRPr/>
            </a:pPr>
            <a:r>
              <a:rPr lang="en-US"/>
              <a:t>Grafiek 7:</a:t>
            </a:r>
            <a:r>
              <a:rPr lang="en-US" baseline="0"/>
              <a:t> Gecorrigeerde dubbele sommatiekromme station A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Correctie A</c:v>
          </c:tx>
          <c:trendline>
            <c:trendlineType val="linear"/>
            <c:dispRSqr val="1"/>
            <c:dispEq val="1"/>
            <c:trendlineLbl>
              <c:layout>
                <c:manualLayout>
                  <c:x val="-0.1154316945317428"/>
                  <c:y val="-9.0874753787228507E-2"/>
                </c:manualLayout>
              </c:layout>
              <c:numFmt formatCode="General" sourceLinked="0"/>
            </c:trendlineLbl>
          </c:trendline>
          <c:cat>
            <c:numRef>
              <c:f>Berekeningen!$H$20:$H$33</c:f>
              <c:numCache>
                <c:formatCode>General</c:formatCode>
                <c:ptCount val="14"/>
                <c:pt idx="0">
                  <c:v>939.66019960296751</c:v>
                </c:pt>
                <c:pt idx="1">
                  <c:v>1809.2488458451467</c:v>
                </c:pt>
                <c:pt idx="2">
                  <c:v>2490.8164794895574</c:v>
                </c:pt>
                <c:pt idx="3">
                  <c:v>3252.3094565726747</c:v>
                </c:pt>
                <c:pt idx="4">
                  <c:v>4361.3979018428663</c:v>
                </c:pt>
                <c:pt idx="5">
                  <c:v>5375.1540827132139</c:v>
                </c:pt>
                <c:pt idx="6">
                  <c:v>6290.7142823161803</c:v>
                </c:pt>
                <c:pt idx="7">
                  <c:v>7109.1279285583623</c:v>
                </c:pt>
                <c:pt idx="8">
                  <c:v>7810.1922781460544</c:v>
                </c:pt>
                <c:pt idx="9">
                  <c:v>8561.0263303949978</c:v>
                </c:pt>
                <c:pt idx="10">
                  <c:v>9618.4103345990843</c:v>
                </c:pt>
                <c:pt idx="11">
                  <c:v>10571.346266573568</c:v>
                </c:pt>
                <c:pt idx="12">
                  <c:v>11597.872192726423</c:v>
                </c:pt>
                <c:pt idx="13">
                  <c:v>12652.761095472937</c:v>
                </c:pt>
              </c:numCache>
            </c:numRef>
          </c:cat>
          <c:val>
            <c:numRef>
              <c:f>Berekeningen!$B$20:$B$33</c:f>
              <c:numCache>
                <c:formatCode>General</c:formatCode>
                <c:ptCount val="14"/>
                <c:pt idx="0">
                  <c:v>1.1716042184724682</c:v>
                </c:pt>
                <c:pt idx="1">
                  <c:v>2.1735840674955607</c:v>
                </c:pt>
                <c:pt idx="2">
                  <c:v>3.1179351243339255</c:v>
                </c:pt>
                <c:pt idx="3">
                  <c:v>4.1019739342806396</c:v>
                </c:pt>
                <c:pt idx="4">
                  <c:v>5.410854285079929</c:v>
                </c:pt>
                <c:pt idx="5">
                  <c:v>6.5945551132326816</c:v>
                </c:pt>
                <c:pt idx="6">
                  <c:v>8.510184775754885</c:v>
                </c:pt>
                <c:pt idx="7">
                  <c:v>10.392834587033752</c:v>
                </c:pt>
                <c:pt idx="8">
                  <c:v>11.723421676287744</c:v>
                </c:pt>
                <c:pt idx="9">
                  <c:v>13.265079813499115</c:v>
                </c:pt>
                <c:pt idx="10">
                  <c:v>15.550083809946718</c:v>
                </c:pt>
                <c:pt idx="11">
                  <c:v>17.782320044404972</c:v>
                </c:pt>
                <c:pt idx="12">
                  <c:v>20.045737229129656</c:v>
                </c:pt>
                <c:pt idx="13">
                  <c:v>22.213412906305503</c:v>
                </c:pt>
              </c:numCache>
            </c:numRef>
          </c:val>
        </c:ser>
        <c:marker val="1"/>
        <c:axId val="174359680"/>
        <c:axId val="174361600"/>
      </c:lineChart>
      <c:catAx>
        <c:axId val="174359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Gemiddelde cumulatieve jaarlijkse neerslag, stations</a:t>
                </a:r>
                <a:r>
                  <a:rPr lang="nl-BE" baseline="0"/>
                  <a:t> B-E (mm)</a:t>
                </a:r>
                <a:endParaRPr lang="nl-BE"/>
              </a:p>
            </c:rich>
          </c:tx>
        </c:title>
        <c:numFmt formatCode="General" sourceLinked="1"/>
        <c:tickLblPos val="nextTo"/>
        <c:crossAx val="174361600"/>
        <c:crosses val="autoZero"/>
        <c:auto val="1"/>
        <c:lblAlgn val="ctr"/>
        <c:lblOffset val="100"/>
      </c:catAx>
      <c:valAx>
        <c:axId val="1743616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Cumulatieve</a:t>
                </a:r>
                <a:r>
                  <a:rPr lang="nl-BE" baseline="0"/>
                  <a:t> jaarlijkse neerslag, station A (mm)</a:t>
                </a:r>
                <a:endParaRPr lang="nl-BE"/>
              </a:p>
            </c:rich>
          </c:tx>
        </c:title>
        <c:numFmt formatCode="General" sourceLinked="1"/>
        <c:tickLblPos val="nextTo"/>
        <c:crossAx val="1743596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8</cp:revision>
  <dcterms:created xsi:type="dcterms:W3CDTF">2012-03-04T12:48:00Z</dcterms:created>
  <dcterms:modified xsi:type="dcterms:W3CDTF">2012-03-04T16:26:00Z</dcterms:modified>
</cp:coreProperties>
</file>