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20"/>
          <w:szCs w:val="20"/>
        </w:rPr>
        <w:t xml:space="preserve">Second Interim Report — Simulating and controlling the HISPEC thermal system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Andrey Korolev ·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Mentor: Jake Zimmer</w:t>
      </w:r>
      <w:r>
        <w:rPr>
          <w:rFonts w:ascii="Verdana" w:cs="Verdana" w:eastAsia="Verdana" w:hAnsi="Verdana"/>
          <w:sz w:val="16"/>
          <w:szCs w:val="16"/>
        </w:rPr>
        <w:t xml:space="preserve"> · SURF 2026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Background and goal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HISPEC is a high-resolution infrared spectrograph being built for the Keck Observatory (radial-velocity measurements, exoplanet characterization, transit spectroscopy). Because those measurements are extremely sensitive to optical expansion, refractive-index changes, and detector drift, the instrument must stay thermally stable — the target is roughly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10 mK/hour</w:t>
      </w:r>
      <w:r>
        <w:rPr>
          <w:rFonts w:ascii="Verdana" w:cs="Verdana" w:eastAsia="Verdana" w:hAnsi="Verdana"/>
          <w:sz w:val="16"/>
          <w:szCs w:val="16"/>
        </w:rPr>
        <w:t xml:space="preserve">, with a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sub-millikelvin</w:t>
      </w:r>
      <w:r>
        <w:rPr>
          <w:rFonts w:ascii="Verdana" w:cs="Verdana" w:eastAsia="Verdana" w:hAnsi="Verdana"/>
          <w:sz w:val="16"/>
          <w:szCs w:val="16"/>
        </w:rPr>
        <w:t xml:space="preserve"> stretch goal — across a custom thermal-control system with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40 heater outputs and 80 temperature-sensor inputs</w:t>
      </w:r>
      <w:r>
        <w:rPr>
          <w:rFonts w:ascii="Verdana" w:cs="Verdana" w:eastAsia="Verdana" w:hAnsi="Verdana"/>
          <w:sz w:val="16"/>
          <w:szCs w:val="16"/>
        </w:rPr>
        <w:t xml:space="preserve"> (see Interim Report 1 for the hardware background).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My project is to model, simulate, and control this system. The defining constraint is that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the hardware does not physically exist yet</w:t>
      </w:r>
      <w:r>
        <w:rPr>
          <w:rFonts w:ascii="Verdana" w:cs="Verdana" w:eastAsia="Verdana" w:hAnsi="Verdana"/>
          <w:sz w:val="16"/>
          <w:szCs w:val="16"/>
        </w:rPr>
        <w:t xml:space="preserve"> — it is still being built — so I cannot do system identification on the real device. The entire project therefore rests on an approximate, physics-based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simulator</w:t>
      </w:r>
      <w:r>
        <w:rPr>
          <w:rFonts w:ascii="Verdana" w:cs="Verdana" w:eastAsia="Verdana" w:hAnsi="Verdana"/>
          <w:sz w:val="16"/>
          <w:szCs w:val="16"/>
        </w:rPr>
        <w:t xml:space="preserve"> that stands in for the real system: it lets me design and stress-test controllers now, so that when the hardware arrives the controllers are already close and only need refinement rather than ground-up tuning. The work over the past month falls into two threads: (1) building and validating that simulator, and (2) evolving the controller from a simple baseline to an optimal multivariable design.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Throughout, results are shown on a representative test assembly,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CRYOSTAT_V2</w:t>
      </w:r>
      <w:r>
        <w:rPr>
          <w:rFonts w:ascii="Verdana" w:cs="Verdana" w:eastAsia="Verdana" w:hAnsi="Verdana"/>
          <w:sz w:val="16"/>
          <w:szCs w:val="16"/>
        </w:rPr>
        <w:t xml:space="preserve">, which exposes 33 heaters and 72 sensors (28 controlled) — a subset of the full 40/80 channel count — linearized about a 55 K operating point.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Thread 1 — Building and validating the simulator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1.1 The pipeline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The simulator turns a CAD assembly into a solvable thermal model in three stages. All quantities below are the actual settings used to build CRYOSTAT_V2.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(a) Geometry → octree/voxel grid.</w:t>
      </w:r>
      <w:r>
        <w:rPr>
          <w:rFonts w:ascii="Verdana" w:cs="Verdana" w:eastAsia="Verdana" w:hAnsi="Verdana"/>
          <w:sz w:val="16"/>
          <w:szCs w:val="16"/>
        </w:rPr>
        <w:t xml:space="preserve"> The CAD assembly is voxelized with an adaptive octree so fine features get small cells and bulk material gets large ones. The build parameters were: minimum cell size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4 mm</w:t>
      </w:r>
      <w:r>
        <w:rPr>
          <w:rFonts w:ascii="Verdana" w:cs="Verdana" w:eastAsia="Verdana" w:hAnsi="Verdana"/>
          <w:sz w:val="16"/>
          <w:szCs w:val="16"/>
        </w:rPr>
        <w:t xml:space="preserve">, maximum cell size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10 mm</w:t>
      </w:r>
      <w:r>
        <w:rPr>
          <w:rFonts w:ascii="Verdana" w:cs="Verdana" w:eastAsia="Verdana" w:hAnsi="Verdana"/>
          <w:sz w:val="16"/>
          <w:szCs w:val="16"/>
        </w:rPr>
        <w:t xml:space="preserve">, maximum octree depth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12</w:t>
      </w:r>
      <w:r>
        <w:rPr>
          <w:rFonts w:ascii="Verdana" w:cs="Verdana" w:eastAsia="Verdana" w:hAnsi="Verdana"/>
          <w:sz w:val="16"/>
          <w:szCs w:val="16"/>
        </w:rPr>
        <w:t xml:space="preserve"> (depth 9 actually reached),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64 sample points per cell</w:t>
      </w:r>
      <w:r>
        <w:rPr>
          <w:rFonts w:ascii="Verdana" w:cs="Verdana" w:eastAsia="Verdana" w:hAnsi="Verdana"/>
          <w:sz w:val="16"/>
          <w:szCs w:val="16"/>
        </w:rPr>
        <w:t xml:space="preserve"> for occupancy testing, and a </w:t>
      </w:r>
      <w:r>
        <w:rPr>
          <w:rFonts w:ascii="Verdana" w:cs="Verdana" w:eastAsia="Verdana" w:hAnsi="Verdana"/>
          <w:sz w:val="16"/>
          <w:szCs w:val="16"/>
        </w:rPr>
        <w:t xml:space="preserve">trimesh</w:t>
      </w:r>
      <w:r>
        <w:rPr>
          <w:rFonts w:ascii="Verdana" w:cs="Verdana" w:eastAsia="Verdana" w:hAnsi="Verdana"/>
          <w:sz w:val="16"/>
          <w:szCs w:val="16"/>
        </w:rPr>
        <w:t xml:space="preserve"> BVH ray-containment backend. Adaptive refinement was enabled at material contrast (contrast ratio threshold 5), near contacts (within 10 mm), at boundaries, and around crowded and multi-surface components. The result for CRYOSTAT_V2 is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471,412 leaf cells</w:t>
      </w:r>
      <w:r>
        <w:rPr>
          <w:rFonts w:ascii="Verdana" w:cs="Verdana" w:eastAsia="Verdana" w:hAnsi="Verdana"/>
          <w:sz w:val="16"/>
          <w:szCs w:val="16"/>
        </w:rPr>
        <w:t xml:space="preserve"> (469,315 in the main connected body) joined by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≈1.08 million conduction edges</w:t>
      </w:r>
      <w:r>
        <w:rPr>
          <w:rFonts w:ascii="Verdana" w:cs="Verdana" w:eastAsia="Verdana" w:hAnsi="Verdana"/>
          <w:sz w:val="16"/>
          <w:szCs w:val="16"/>
        </w:rPr>
        <w:t xml:space="preserve"> (2.16 M off-diagonal entries in the sparse conduction Laplacian). Contact between touching parts is modeled with an interface conductance of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10,000 W·m⁻²·K⁻¹</w:t>
      </w:r>
      <w:r>
        <w:rPr>
          <w:rFonts w:ascii="Verdana" w:cs="Verdana" w:eastAsia="Verdana" w:hAnsi="Verdana"/>
          <w:sz w:val="16"/>
          <w:szCs w:val="16"/>
        </w:rPr>
        <w:t xml:space="preserve"> applied where surfaces lie within a 2 mm detection distance (0.05 mm gap tolerance). Flex cables (</w:t>
      </w:r>
      <w:r>
        <w:rPr>
          <w:rFonts w:ascii="Verdana" w:cs="Verdana" w:eastAsia="Verdana" w:hAnsi="Verdana"/>
          <w:sz w:val="16"/>
          <w:szCs w:val="16"/>
        </w:rPr>
        <w:t xml:space="preserve">FLEX</w:t>
      </w:r>
      <w:r>
        <w:rPr>
          <w:rFonts w:ascii="Verdana" w:cs="Verdana" w:eastAsia="Verdana" w:hAnsi="Verdana"/>
          <w:sz w:val="16"/>
          <w:szCs w:val="16"/>
        </w:rPr>
        <w:t xml:space="preserve"> components) were excluded.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(b) Material extraction and assignment.</w:t>
      </w:r>
      <w:r>
        <w:rPr>
          <w:rFonts w:ascii="Verdana" w:cs="Verdana" w:eastAsia="Verdana" w:hAnsi="Verdana"/>
          <w:sz w:val="16"/>
          <w:szCs w:val="16"/>
        </w:rPr>
        <w:t xml:space="preserve"> Each voxel carries density, heat capacity, conductivity, and emissivity. Because CAD appearance names are unreliable, a per-mesh material table (</w:t>
      </w:r>
      <w:r>
        <w:rPr>
          <w:rFonts w:ascii="Verdana" w:cs="Verdana" w:eastAsia="Verdana" w:hAnsi="Verdana"/>
          <w:sz w:val="16"/>
          <w:szCs w:val="16"/>
        </w:rPr>
        <w:t xml:space="preserve">Materials.xlsx</w:t>
      </w:r>
      <w:r>
        <w:rPr>
          <w:rFonts w:ascii="Verdana" w:cs="Verdana" w:eastAsia="Verdana" w:hAnsi="Verdana"/>
          <w:sz w:val="16"/>
          <w:szCs w:val="16"/>
        </w:rPr>
        <w:t xml:space="preserve">) is treated as authoritative and matched onto the octree leaves; a leaf inherits its parent component's material, with the dominant material accepted when it covers ≥95% of a cell. CRYOSTAT_V2 resolved to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14 distinct materials</w:t>
      </w:r>
      <w:r>
        <w:rPr>
          <w:rFonts w:ascii="Verdana" w:cs="Verdana" w:eastAsia="Verdana" w:hAnsi="Verdana"/>
          <w:sz w:val="16"/>
          <w:szCs w:val="16"/>
        </w:rPr>
        <w:t xml:space="preserve">, e.g. 6061-T6 aluminum (ρ = 2700 kg·m⁻³, cp = 896 J·kg⁻¹·K⁻¹, k = 167 W·m⁻¹·K⁻¹, ε = 0.09), AISI 304 stainless (k = 16.2 W·m⁻¹·K⁻¹, ε = 0.35), 17-7PH stainless (k = 16 W·m⁻¹·K⁻¹), and copper. Getting this correct was a distinct piece of work — the whole simulation is only as good as its material assignment.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(c) Thermal network.</w:t>
      </w:r>
      <w:r>
        <w:rPr>
          <w:rFonts w:ascii="Verdana" w:cs="Verdana" w:eastAsia="Verdana" w:hAnsi="Verdana"/>
          <w:sz w:val="16"/>
          <w:szCs w:val="16"/>
        </w:rPr>
        <w:t xml:space="preserve"> The voxel grid becomes a lumped thermal graph: node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i</w:t>
      </w:r>
      <w:r>
        <w:rPr>
          <w:rFonts w:ascii="Verdana" w:cs="Verdana" w:eastAsia="Verdana" w:hAnsi="Verdana"/>
          <w:sz w:val="16"/>
          <w:szCs w:val="16"/>
        </w:rPr>
        <w:t xml:space="preserve"> is a thermal mass with capacity </w:t>
      </w:r>
      <w:r>
        <w:rPr>
          <w:rFonts w:ascii="Verdana" w:cs="Verdana" w:eastAsia="Verdana" w:hAnsi="Verdana"/>
          <w:sz w:val="16"/>
          <w:szCs w:val="16"/>
        </w:rPr>
        <w:t xml:space="preserve">C_i = ρ·cp·V_i</w:t>
      </w:r>
      <w:r>
        <w:rPr>
          <w:rFonts w:ascii="Verdana" w:cs="Verdana" w:eastAsia="Verdana" w:hAnsi="Verdana"/>
          <w:sz w:val="16"/>
          <w:szCs w:val="16"/>
        </w:rPr>
        <w:t xml:space="preserve">, edges are conduction conductances </w:t>
      </w:r>
      <w:r>
        <w:rPr>
          <w:rFonts w:ascii="Verdana" w:cs="Verdana" w:eastAsia="Verdana" w:hAnsi="Verdana"/>
          <w:sz w:val="16"/>
          <w:szCs w:val="16"/>
        </w:rPr>
        <w:t xml:space="preserve">G_ij</w:t>
      </w:r>
      <w:r>
        <w:rPr>
          <w:rFonts w:ascii="Verdana" w:cs="Verdana" w:eastAsia="Verdana" w:hAnsi="Verdana"/>
          <w:sz w:val="16"/>
          <w:szCs w:val="16"/>
        </w:rPr>
        <w:t xml:space="preserve"> built from the shared face area, cell sizes, and harmonic-mean conductivity, and exposed surfaces get a linearized radiation term referenced to 293.15 K. Heater and sensor nodes are detected by component-name substring (</w:t>
      </w:r>
      <w:r>
        <w:rPr>
          <w:rFonts w:ascii="Verdana" w:cs="Verdana" w:eastAsia="Verdana" w:hAnsi="Verdana"/>
          <w:sz w:val="16"/>
          <w:szCs w:val="16"/>
        </w:rPr>
        <w:t xml:space="preserve">SAFE-HEATER</w:t>
      </w:r>
      <w:r>
        <w:rPr>
          <w:rFonts w:ascii="Verdana" w:cs="Verdana" w:eastAsia="Verdana" w:hAnsi="Verdana"/>
          <w:sz w:val="16"/>
          <w:szCs w:val="16"/>
        </w:rPr>
        <w:t xml:space="preserve"> for heaters, a fixed sensor part number for sensors), then paired (≤2 heaters per sensor, ≤50 mm apart). At cryogenic temperatures material properties vary strongly, so heat capacity and conductivity use temperature-dependent curves </w:t>
      </w:r>
      <w:r>
        <w:rPr>
          <w:rFonts w:ascii="Verdana" w:cs="Verdana" w:eastAsia="Verdana" w:hAnsi="Verdana"/>
          <w:sz w:val="16"/>
          <w:szCs w:val="16"/>
        </w:rPr>
        <w:t xml:space="preserve">cp(T)</w:t>
      </w:r>
      <w:r>
        <w:rPr>
          <w:rFonts w:ascii="Verdana" w:cs="Verdana" w:eastAsia="Verdana" w:hAnsi="Verdana"/>
          <w:sz w:val="16"/>
          <w:szCs w:val="16"/>
        </w:rPr>
        <w:t xml:space="preserve">, </w:t>
      </w:r>
      <w:r>
        <w:rPr>
          <w:rFonts w:ascii="Verdana" w:cs="Verdana" w:eastAsia="Verdana" w:hAnsi="Verdana"/>
          <w:sz w:val="16"/>
          <w:szCs w:val="16"/>
        </w:rPr>
        <w:t xml:space="preserve">k(T)</w:t>
      </w:r>
      <w:r>
        <w:rPr>
          <w:rFonts w:ascii="Verdana" w:cs="Verdana" w:eastAsia="Verdana" w:hAnsi="Verdana"/>
          <w:sz w:val="16"/>
          <w:szCs w:val="16"/>
        </w:rPr>
        <w:t xml:space="preserve"> sourced from NIST cryogenic data rather than room-temperature constants.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1.2 Validation against analytical references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Before trusting the simulator to design controllers, I checked that its heat transfer is actually correct. The solver has a built-in suite of experiments, each a small canonical geometry (typically a copper block or rod, e.g. a 100 × 20 × 20 mm bar with a 10 W heater, starting at 293.15 K) compared against an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independent reference</w:t>
      </w:r>
      <w:r>
        <w:rPr>
          <w:rFonts w:ascii="Verdana" w:cs="Verdana" w:eastAsia="Verdana" w:hAnsi="Verdana"/>
          <w:sz w:val="16"/>
          <w:szCs w:val="16"/>
        </w:rPr>
        <w:t xml:space="preserve">: either a closed-form analytical solution, or a high-accuracy adaptive Runge–Kutta (LSODA) integration of the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same</w:t>
      </w:r>
      <w:r>
        <w:rPr>
          <w:rFonts w:ascii="Verdana" w:cs="Verdana" w:eastAsia="Verdana" w:hAnsi="Verdana"/>
          <w:sz w:val="16"/>
          <w:szCs w:val="16"/>
        </w:rPr>
        <w:t xml:space="preserve"> nonlinear ODE </w:t>
      </w:r>
      <w:r>
        <w:rPr>
          <w:rFonts w:ascii="Verdana" w:cs="Verdana" w:eastAsia="Verdana" w:hAnsi="Verdana"/>
          <w:sz w:val="16"/>
          <w:szCs w:val="16"/>
        </w:rPr>
        <w:t xml:space="preserve">C(T) Ṫ = −L(T) T + P + εσA(T_env⁴ − T⁴)</w:t>
      </w:r>
      <w:r>
        <w:rPr>
          <w:rFonts w:ascii="Verdana" w:cs="Verdana" w:eastAsia="Verdana" w:hAnsi="Verdana"/>
          <w:sz w:val="16"/>
          <w:szCs w:val="16"/>
        </w:rPr>
        <w:t xml:space="preserve"> from the identical initial state and operators. To probe correctness rather than the deployed solver's default speed, I ran each experiment with the solver tightened to convergence: adaptive substep cap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512</w:t>
      </w:r>
      <w:r>
        <w:rPr>
          <w:rFonts w:ascii="Verdana" w:cs="Verdana" w:eastAsia="Verdana" w:hAnsi="Verdana"/>
          <w:sz w:val="16"/>
          <w:szCs w:val="16"/>
        </w:rPr>
        <w:t xml:space="preserve">, per-step target ΔT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10⁻³ K</w:t>
      </w:r>
      <w:r>
        <w:rPr>
          <w:rFonts w:ascii="Verdana" w:cs="Verdana" w:eastAsia="Verdana" w:hAnsi="Verdana"/>
          <w:sz w:val="16"/>
          <w:szCs w:val="16"/>
        </w:rPr>
        <w:t xml:space="preserve">, relative tolerance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10⁻¹¹</w:t>
      </w:r>
      <w:r>
        <w:rPr>
          <w:rFonts w:ascii="Verdana" w:cs="Verdana" w:eastAsia="Verdana" w:hAnsi="Verdana"/>
          <w:sz w:val="16"/>
          <w:szCs w:val="16"/>
        </w:rPr>
        <w:t xml:space="preserve">, GPU path disabled. The error reported is the maximum absolute deviation from the reference over the run: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00"/>
        <w:gridCol w:w="1900"/>
        <w:gridCol w:w="1760"/>
      </w:tblGrid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16"/>
                <w:szCs w:val="16"/>
              </w:rPr>
              <w:t xml:space="preserve">Experiment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16"/>
                <w:szCs w:val="16"/>
              </w:rPr>
              <w:t xml:space="preserve">Max abs. temperature error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16"/>
                <w:szCs w:val="16"/>
              </w:rPr>
              <w:t xml:space="preserve">Tolerance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Insulated block, constant heating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1.7×10⁻¹⁰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5×10⁻²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Two-node lumped conductance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3.7×10⁻¹⁰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1×10⁻⁷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One-dimensional prism conduction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1.0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3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One-dimensional distributed rod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~10⁻¹³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1×10⁻⁷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Radiation cooling (lumped)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3.2×10⁻⁷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5×10⁻¹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Temperature-dependent heating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3.2×10⁻²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5×10⁻¹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16"/>
                <w:szCs w:val="16"/>
              </w:rPr>
              <w:t xml:space="preserve">Cryo regime (heater + radiation + cp(T))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16"/>
                <w:szCs w:val="16"/>
              </w:rPr>
              <w:t xml:space="preserve">1.8×10⁻⁴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5×10⁻¹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Two-block thermal exchange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5.7×10⁻² K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5×10⁻² K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WARNING</w:t>
            </w:r>
          </w:p>
        </w:tc>
      </w:tr>
      <w:tr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Global energy conservation</w:t>
            </w:r>
          </w:p>
        </w:tc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1.8×10⁻³ J</w:t>
            </w:r>
          </w:p>
        </w:tc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36 J</w:t>
            </w:r>
          </w:p>
        </w:tc>
        <w:tc>
          <w:tcPr>
            <w:tcW w:type="dxa" w:w="1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</w:tbl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The most important row is the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cryo regime</w:t>
      </w:r>
      <w:r>
        <w:rPr>
          <w:rFonts w:ascii="Verdana" w:cs="Verdana" w:eastAsia="Verdana" w:hAnsi="Verdana"/>
          <w:sz w:val="16"/>
          <w:szCs w:val="16"/>
        </w:rPr>
        <w:t xml:space="preserve"> — heater input, radiation, and temperature-dependent </w:t>
      </w:r>
      <w:r>
        <w:rPr>
          <w:rFonts w:ascii="Verdana" w:cs="Verdana" w:eastAsia="Verdana" w:hAnsi="Verdana"/>
          <w:sz w:val="16"/>
          <w:szCs w:val="16"/>
        </w:rPr>
        <w:t xml:space="preserve">cp(T)</w:t>
      </w:r>
      <w:r>
        <w:rPr>
          <w:rFonts w:ascii="Verdana" w:cs="Verdana" w:eastAsia="Verdana" w:hAnsi="Verdana"/>
          <w:sz w:val="16"/>
          <w:szCs w:val="16"/>
        </w:rPr>
        <w:t xml:space="preserve"> together, which is the actual HISPEC operating regime — where the simulator tracks the analytical reference to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1.8×10⁻⁴ K</w:t>
      </w:r>
      <w:r>
        <w:rPr>
          <w:rFonts w:ascii="Verdana" w:cs="Verdana" w:eastAsia="Verdana" w:hAnsi="Verdana"/>
          <w:sz w:val="16"/>
          <w:szCs w:val="16"/>
        </w:rPr>
        <w:t xml:space="preserve">. Figure 5 overlays the simulated and analytical curves for that case and for radiation cooling; they are visually indistinguishable. The only non-PASS is the two-block exchange, which lands marginally over its 0.05 K tolerance (0.057 K) — a WARNING, not a failure. These results are in line with what I expected: with the solver well resolved, the simulation reproduces the physics to well within any tolerance that matters for control.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Figure 5. Simulated (dashed) vs. analytical (solid) temperature for the cryo regime and radiation-cooling experiments; max errors ~10⁻⁴ K and ~10⁻⁷ K.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1.3 The problem: hollow shells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The validation above is encouraging, but there is a significant caveat I uncovered while pushing the model further. The CAD imports used so far (GLB exports)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drop the solid interiors of parts, leaving hollow shells</w:t>
      </w:r>
      <w:r>
        <w:rPr>
          <w:rFonts w:ascii="Verdana" w:cs="Verdana" w:eastAsia="Verdana" w:hAnsi="Verdana"/>
          <w:sz w:val="16"/>
          <w:szCs w:val="16"/>
        </w:rPr>
        <w:t xml:space="preserve">. A shell has thin conduction cross-sections and a weak connection to the cold sink, so while the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solver</w:t>
      </w:r>
      <w:r>
        <w:rPr>
          <w:rFonts w:ascii="Verdana" w:cs="Verdana" w:eastAsia="Verdana" w:hAnsi="Verdana"/>
          <w:sz w:val="16"/>
          <w:szCs w:val="16"/>
        </w:rPr>
        <w:t xml:space="preserve"> is correct (Section 1.2), the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geometry it is solving on</w:t>
      </w:r>
      <w:r>
        <w:rPr>
          <w:rFonts w:ascii="Verdana" w:cs="Verdana" w:eastAsia="Verdana" w:hAnsi="Verdana"/>
          <w:sz w:val="16"/>
          <w:szCs w:val="16"/>
        </w:rPr>
        <w:t xml:space="preserve"> is not representative of the real instrument — absolute quantities like time constants and steady-state gains come out distorted (this shows up again in Thread 2). The source of the problem is the file format and how it tessellates solids: the build's own quality heuristic flagged this, scoring CRYOSTAT_V2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5/100 (grade D)</w:t>
      </w:r>
      <w:r>
        <w:rPr>
          <w:rFonts w:ascii="Verdana" w:cs="Verdana" w:eastAsia="Verdana" w:hAnsi="Verdana"/>
          <w:sz w:val="16"/>
          <w:szCs w:val="16"/>
        </w:rPr>
        <w:t xml:space="preserve"> largely on watertightness and occupancy warnings. The fix, now in progress, is a separate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STEP / B-rep import path</w:t>
      </w:r>
      <w:r>
        <w:rPr>
          <w:rFonts w:ascii="Verdana" w:cs="Verdana" w:eastAsia="Verdana" w:hAnsi="Verdana"/>
          <w:sz w:val="16"/>
          <w:szCs w:val="16"/>
        </w:rPr>
        <w:t xml:space="preserve"> that fills solids correctly. Re-running the whole pipeline on solid-filled geometry is the main outstanding step to turn the current methodology demonstration into a quantitatively representative model.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Thread 2 — Controller design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2.1 Why the problem is multivariable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The control problem is naturally MIMO: heat from one heater reaches many sensors. Using the earlier, well-grounded model build, the steady-state heater→sensor gain matrix </w:t>
      </w:r>
      <w:r>
        <w:rPr>
          <w:rFonts w:ascii="Verdana" w:cs="Verdana" w:eastAsia="Verdana" w:hAnsi="Verdana"/>
          <w:sz w:val="16"/>
          <w:szCs w:val="16"/>
        </w:rPr>
        <w:t xml:space="preserve">G</w:t>
      </w:r>
      <w:r>
        <w:rPr>
          <w:rFonts w:ascii="Verdana" w:cs="Verdana" w:eastAsia="Verdana" w:hAnsi="Verdana"/>
          <w:sz w:val="16"/>
          <w:szCs w:val="16"/>
        </w:rPr>
        <w:t xml:space="preserve"> (28 controlled sensors × 33 heaters; </w:t>
      </w:r>
      <w:r>
        <w:rPr>
          <w:rFonts w:ascii="Verdana" w:cs="Verdana" w:eastAsia="Verdana" w:hAnsi="Verdana"/>
          <w:sz w:val="16"/>
          <w:szCs w:val="16"/>
        </w:rPr>
        <w:t xml:space="preserve">y = G u</w:t>
      </w:r>
      <w:r>
        <w:rPr>
          <w:rFonts w:ascii="Verdana" w:cs="Verdana" w:eastAsia="Verdana" w:hAnsi="Verdana"/>
          <w:sz w:val="16"/>
          <w:szCs w:val="16"/>
        </w:rPr>
        <w:t xml:space="preserve">) is well-conditioned (condition number ≈ 37, entries 0.04–0.87 K/W) and shows that coupling is pervasive: on average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26.8 of the 33 heaters</w:t>
      </w:r>
      <w:r>
        <w:rPr>
          <w:rFonts w:ascii="Verdana" w:cs="Verdana" w:eastAsia="Verdana" w:hAnsi="Verdana"/>
          <w:sz w:val="16"/>
          <w:szCs w:val="16"/>
        </w:rPr>
        <w:t xml:space="preserve"> significantly influence each sensor (&gt;10% of that sensor's strongest gain; median 28), and the relative gain array has a mean best-pairing value of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1.47</w:t>
      </w:r>
      <w:r>
        <w:rPr>
          <w:rFonts w:ascii="Verdana" w:cs="Verdana" w:eastAsia="Verdana" w:hAnsi="Verdana"/>
          <w:sz w:val="16"/>
          <w:szCs w:val="16"/>
        </w:rPr>
        <w:t xml:space="preserve"> (1.0 would mean perfectly decoupled loops). Figure 4 shows the structure — clear dominant pairings, but with large off-diagonal coupling blocks. The system also has two structural difficulties carried over from Report 1: it is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underactuated</w:t>
      </w:r>
      <w:r>
        <w:rPr>
          <w:rFonts w:ascii="Verdana" w:cs="Verdana" w:eastAsia="Verdana" w:hAnsi="Verdana"/>
          <w:sz w:val="16"/>
          <w:szCs w:val="16"/>
        </w:rPr>
        <w:t xml:space="preserve"> in sensor space (80 sensors, 40 heaters on the real device), and the heaters are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one-sided actuators</w:t>
      </w:r>
      <w:r>
        <w:rPr>
          <w:rFonts w:ascii="Verdana" w:cs="Verdana" w:eastAsia="Verdana" w:hAnsi="Verdana"/>
          <w:sz w:val="16"/>
          <w:szCs w:val="16"/>
        </w:rPr>
        <w:t xml:space="preserve"> — they can only add heat, not remove it, so an overshoot must wait for passive or cryocooler cooling.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5334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Figure 4. Row-normalized steady-state gain |G| (earlier well-conditioned build). The off-diagonal energy within each block is the cross-coupling that rules out independent single-loop control.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2.2 The controller evolution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SISO PID.</w:t>
      </w:r>
      <w:r>
        <w:rPr>
          <w:rFonts w:ascii="Verdana" w:cs="Verdana" w:eastAsia="Verdana" w:hAnsi="Verdana"/>
          <w:sz w:val="16"/>
          <w:szCs w:val="16"/>
        </w:rPr>
        <w:t xml:space="preserve"> The first attempt was the simplest thing that could work: an independent PID loop per heater/sensor pair. This is a useful baseline but, given the coupling above, each loop fights the others and it cannot hold a coordinated setpoint.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Decoupled MIMO PID.</w:t>
      </w:r>
      <w:r>
        <w:rPr>
          <w:rFonts w:ascii="Verdana" w:cs="Verdana" w:eastAsia="Verdana" w:hAnsi="Verdana"/>
          <w:sz w:val="16"/>
          <w:szCs w:val="16"/>
        </w:rPr>
        <w:t xml:space="preserve"> To account for the coupling, the next controller computed a desired correction in sensor space and mapped it to heater powers through the pseudoinverse of the gain matrix, </w:t>
      </w:r>
      <w:r>
        <w:rPr>
          <w:rFonts w:ascii="Verdana" w:cs="Verdana" w:eastAsia="Verdana" w:hAnsi="Verdana"/>
          <w:sz w:val="16"/>
          <w:szCs w:val="16"/>
        </w:rPr>
        <w:t xml:space="preserve">u = G⁺ Δy</w:t>
      </w:r>
      <w:r>
        <w:rPr>
          <w:rFonts w:ascii="Verdana" w:cs="Verdana" w:eastAsia="Verdana" w:hAnsi="Verdana"/>
          <w:sz w:val="16"/>
          <w:szCs w:val="16"/>
        </w:rPr>
        <w:t xml:space="preserve">. This works on paper, but the pseudoinverse can request negative or over-limit heater powers. Since real heaters must satisfy </w:t>
      </w:r>
      <w:r>
        <w:rPr>
          <w:rFonts w:ascii="Verdana" w:cs="Verdana" w:eastAsia="Verdana" w:hAnsi="Verdana"/>
          <w:sz w:val="16"/>
          <w:szCs w:val="16"/>
        </w:rPr>
        <w:t xml:space="preserve">0 ≤ u ≤ u_max</w:t>
      </w:r>
      <w:r>
        <w:rPr>
          <w:rFonts w:ascii="Verdana" w:cs="Verdana" w:eastAsia="Verdana" w:hAnsi="Verdana"/>
          <w:sz w:val="16"/>
          <w:szCs w:val="16"/>
        </w:rPr>
        <w:t xml:space="preserve">, those commands have to be clamped — and once clamped, the applied heater vector is no longer the one the decoupling assumed, so the decoupling breaks down.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Constrained min-norm QP.</w:t>
      </w:r>
      <w:r>
        <w:rPr>
          <w:rFonts w:ascii="Verdana" w:cs="Verdana" w:eastAsia="Verdana" w:hAnsi="Verdana"/>
          <w:sz w:val="16"/>
          <w:szCs w:val="16"/>
        </w:rPr>
        <w:t xml:space="preserve"> To fix the clamping problem at its source, I moved to a controller that solves a small constrained quadratic program each step: produce the desired temperature-space correction as closely as possible while directly enforcing the heater constraints (and penalizing large jumps), rather than inverting and clamping afterward. (I also flagged fractional-order PID as a later robustness option for the slow thermal dynamics, following Jamil et al.)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The deeper issue.</w:t>
      </w:r>
      <w:r>
        <w:rPr>
          <w:rFonts w:ascii="Verdana" w:cs="Verdana" w:eastAsia="Verdana" w:hAnsi="Verdana"/>
          <w:sz w:val="16"/>
          <w:szCs w:val="16"/>
        </w:rPr>
        <w:t xml:space="preserve"> All of the above are built on the steady-state gain </w:t>
      </w:r>
      <w:r>
        <w:rPr>
          <w:rFonts w:ascii="Verdana" w:cs="Verdana" w:eastAsia="Verdana" w:hAnsi="Verdana"/>
          <w:sz w:val="16"/>
          <w:szCs w:val="16"/>
        </w:rPr>
        <w:t xml:space="preserve">G</w:t>
      </w:r>
      <w:r>
        <w:rPr>
          <w:rFonts w:ascii="Verdana" w:cs="Verdana" w:eastAsia="Verdana" w:hAnsi="Verdana"/>
          <w:sz w:val="16"/>
          <w:szCs w:val="16"/>
        </w:rPr>
        <w:t xml:space="preserve">, and </w:t>
      </w:r>
      <w:r>
        <w:rPr>
          <w:rFonts w:ascii="Verdana" w:cs="Verdana" w:eastAsia="Verdana" w:hAnsi="Verdana"/>
          <w:sz w:val="16"/>
          <w:szCs w:val="16"/>
        </w:rPr>
        <w:t xml:space="preserve">G</w:t>
      </w:r>
      <w:r>
        <w:rPr>
          <w:rFonts w:ascii="Verdana" w:cs="Verdana" w:eastAsia="Verdana" w:hAnsi="Verdana"/>
          <w:sz w:val="16"/>
          <w:szCs w:val="16"/>
        </w:rPr>
        <w:t xml:space="preserve"> has two problems. First, it captures only the settled behavior, not the transient dynamics that actually govern control. Second — and more seriously for deployment — it is only as good as the model it comes from: on the real hardware it would require system identification I cannot yet perform, and it can be badly conditioned (the shell-geometry rebuild from Thread 1, for instance, degrades </w:t>
      </w:r>
      <w:r>
        <w:rPr>
          <w:rFonts w:ascii="Verdana" w:cs="Verdana" w:eastAsia="Verdana" w:hAnsi="Verdana"/>
          <w:sz w:val="16"/>
          <w:szCs w:val="16"/>
        </w:rPr>
        <w:t xml:space="preserve">G</w:t>
      </w:r>
      <w:r>
        <w:rPr>
          <w:rFonts w:ascii="Verdana" w:cs="Verdana" w:eastAsia="Verdana" w:hAnsi="Verdana"/>
          <w:sz w:val="16"/>
          <w:szCs w:val="16"/>
        </w:rPr>
        <w:t xml:space="preserve"> from the well-behaved matrix above into a nearly rank-1, hugely ill-conditioned one). A controller whose core is a static, model-derived inverse is therefore fragile. This motivated moving to a controller built on the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dynamics</w:t>
      </w:r>
      <w:r>
        <w:rPr>
          <w:rFonts w:ascii="Verdana" w:cs="Verdana" w:eastAsia="Verdana" w:hAnsi="Verdana"/>
          <w:sz w:val="16"/>
          <w:szCs w:val="16"/>
        </w:rPr>
        <w:t xml:space="preserve">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2.3 The LQR controller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From a giant plant to a small dynamic model.</w:t>
      </w:r>
      <w:r>
        <w:rPr>
          <w:rFonts w:ascii="Verdana" w:cs="Verdana" w:eastAsia="Verdana" w:hAnsi="Verdana"/>
          <w:sz w:val="16"/>
          <w:szCs w:val="16"/>
        </w:rPr>
        <w:t xml:space="preserve"> A dynamic controller needs a state-space model </w:t>
      </w:r>
      <w:r>
        <w:rPr>
          <w:rFonts w:ascii="Verdana" w:cs="Verdana" w:eastAsia="Verdana" w:hAnsi="Verdana"/>
          <w:sz w:val="16"/>
          <w:szCs w:val="16"/>
        </w:rPr>
        <w:t xml:space="preserve">ẋ = A x + B u</w:t>
      </w:r>
      <w:r>
        <w:rPr>
          <w:rFonts w:ascii="Verdana" w:cs="Verdana" w:eastAsia="Verdana" w:hAnsi="Verdana"/>
          <w:sz w:val="16"/>
          <w:szCs w:val="16"/>
        </w:rPr>
        <w:t xml:space="preserve">, </w:t>
      </w:r>
      <w:r>
        <w:rPr>
          <w:rFonts w:ascii="Verdana" w:cs="Verdana" w:eastAsia="Verdana" w:hAnsi="Verdana"/>
          <w:sz w:val="16"/>
          <w:szCs w:val="16"/>
        </w:rPr>
        <w:t xml:space="preserve">y = C x</w:t>
      </w:r>
      <w:r>
        <w:rPr>
          <w:rFonts w:ascii="Verdana" w:cs="Verdana" w:eastAsia="Verdana" w:hAnsi="Verdana"/>
          <w:sz w:val="16"/>
          <w:szCs w:val="16"/>
        </w:rPr>
        <w:t xml:space="preserve">, but the full thermal graph is ~469,000 states — far too large to design against or run on a microcontroller. I reduce it in two stages: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1. 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Modal reduction.</w:t>
      </w:r>
      <w:r>
        <w:rPr>
          <w:rFonts w:ascii="Verdana" w:cs="Verdana" w:eastAsia="Verdana" w:hAnsi="Verdana"/>
          <w:sz w:val="16"/>
          <w:szCs w:val="16"/>
        </w:rPr>
        <w:t xml:space="preserve"> Solve the generalized symmetric eigenproblem </w:t>
      </w:r>
      <w:r>
        <w:rPr>
          <w:rFonts w:ascii="Verdana" w:cs="Verdana" w:eastAsia="Verdana" w:hAnsi="Verdana"/>
          <w:sz w:val="16"/>
          <w:szCs w:val="16"/>
        </w:rPr>
        <w:t xml:space="preserve">(L + diag(G_rad)) φ = λ C φ</w:t>
      </w:r>
      <w:r>
        <w:rPr>
          <w:rFonts w:ascii="Verdana" w:cs="Verdana" w:eastAsia="Verdana" w:hAnsi="Verdana"/>
          <w:sz w:val="16"/>
          <w:szCs w:val="16"/>
        </w:rPr>
        <w:t xml:space="preserve"> for the natural thermal modes by symmetric shift-invert (</w:t>
      </w:r>
      <w:r>
        <w:rPr>
          <w:rFonts w:ascii="Verdana" w:cs="Verdana" w:eastAsia="Verdana" w:hAnsi="Verdana"/>
          <w:sz w:val="16"/>
          <w:szCs w:val="16"/>
        </w:rPr>
        <w:t xml:space="preserve">eigsh</w:t>
      </w:r>
      <w:r>
        <w:rPr>
          <w:rFonts w:ascii="Verdana" w:cs="Verdana" w:eastAsia="Verdana" w:hAnsi="Verdana"/>
          <w:sz w:val="16"/>
          <w:szCs w:val="16"/>
        </w:rPr>
        <w:t xml:space="preserve">, shift σ ≈ 0), keeping the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120 slowest</w:t>
      </w:r>
      <w:r>
        <w:rPr>
          <w:rFonts w:ascii="Verdana" w:cs="Verdana" w:eastAsia="Verdana" w:hAnsi="Verdana"/>
          <w:sz w:val="16"/>
          <w:szCs w:val="16"/>
        </w:rPr>
        <w:t xml:space="preserve"> (largest time constants) and C-orthonormalizing them (</w:t>
      </w:r>
      <w:r>
        <w:rPr>
          <w:rFonts w:ascii="Verdana" w:cs="Verdana" w:eastAsia="Verdana" w:hAnsi="Verdana"/>
          <w:sz w:val="16"/>
          <w:szCs w:val="16"/>
        </w:rPr>
        <w:t xml:space="preserve">ΦᵀCΦ = I</w:t>
      </w:r>
      <w:r>
        <w:rPr>
          <w:rFonts w:ascii="Verdana" w:cs="Verdana" w:eastAsia="Verdana" w:hAnsi="Verdana"/>
          <w:sz w:val="16"/>
          <w:szCs w:val="16"/>
        </w:rPr>
        <w:t xml:space="preserve">); fast modes settle instantly on control timescales. Projecting onto these gives a 120-state model </w:t>
      </w:r>
      <w:r>
        <w:rPr>
          <w:rFonts w:ascii="Verdana" w:cs="Verdana" w:eastAsia="Verdana" w:hAnsi="Verdana"/>
          <w:sz w:val="16"/>
          <w:szCs w:val="16"/>
        </w:rPr>
        <w:t xml:space="preserve">A_mod = −diag(λ)</w:t>
      </w:r>
      <w:r>
        <w:rPr>
          <w:rFonts w:ascii="Verdana" w:cs="Verdana" w:eastAsia="Verdana" w:hAnsi="Verdana"/>
          <w:sz w:val="16"/>
          <w:szCs w:val="16"/>
        </w:rPr>
        <w:t xml:space="preserve">, </w:t>
      </w:r>
      <w:r>
        <w:rPr>
          <w:rFonts w:ascii="Verdana" w:cs="Verdana" w:eastAsia="Verdana" w:hAnsi="Verdana"/>
          <w:sz w:val="16"/>
          <w:szCs w:val="16"/>
        </w:rPr>
        <w:t xml:space="preserve">B_mod = ΦᵀF</w:t>
      </w:r>
      <w:r>
        <w:rPr>
          <w:rFonts w:ascii="Verdana" w:cs="Verdana" w:eastAsia="Verdana" w:hAnsi="Verdana"/>
          <w:sz w:val="16"/>
          <w:szCs w:val="16"/>
        </w:rPr>
        <w:t xml:space="preserve">, </w:t>
      </w:r>
      <w:r>
        <w:rPr>
          <w:rFonts w:ascii="Verdana" w:cs="Verdana" w:eastAsia="Verdana" w:hAnsi="Verdana"/>
          <w:sz w:val="16"/>
          <w:szCs w:val="16"/>
        </w:rPr>
        <w:t xml:space="preserve">C_out = SΦ</w:t>
      </w:r>
      <w:r>
        <w:rPr>
          <w:rFonts w:ascii="Verdana" w:cs="Verdana" w:eastAsia="Verdana" w:hAnsi="Verdana"/>
          <w:sz w:val="16"/>
          <w:szCs w:val="16"/>
        </w:rPr>
        <w:t xml:space="preserve">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2. 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Balanced truncation.</w:t>
      </w:r>
      <w:r>
        <w:rPr>
          <w:rFonts w:ascii="Verdana" w:cs="Verdana" w:eastAsia="Verdana" w:hAnsi="Verdana"/>
          <w:sz w:val="16"/>
          <w:szCs w:val="16"/>
        </w:rPr>
        <w:t xml:space="preserve"> Slow does not mean useful: a mode only matters if it actually connects a heater input to a sensor output. I solve the controllability and observability Lyapunov equations for the 120-state model, take the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Hankel singular values</w:t>
      </w:r>
      <w:r>
        <w:rPr>
          <w:rFonts w:ascii="Verdana" w:cs="Verdana" w:eastAsia="Verdana" w:hAnsi="Verdana"/>
          <w:sz w:val="16"/>
          <w:szCs w:val="16"/>
        </w:rPr>
        <w:t xml:space="preserve"> from their gramian factors (each measuring a mode's joint controllability + observability), and apply square-root balancing to keep the top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r = 30</w:t>
      </w:r>
      <w:r>
        <w:rPr>
          <w:rFonts w:ascii="Verdana" w:cs="Verdana" w:eastAsia="Verdana" w:hAnsi="Verdana"/>
          <w:sz w:val="16"/>
          <w:szCs w:val="16"/>
        </w:rPr>
        <w:t xml:space="preserve">. The Hankel values (Fig. 1) fall off a cliff — down ~4 orders by mode 10 and to machine precision by mode ~45 — so 30 states capture essentially all of the input→output behavior. The reduced 30-state model reproduces the full model's steady-state gain to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1.3×10⁻³</w:t>
      </w:r>
      <w:r>
        <w:rPr>
          <w:rFonts w:ascii="Verdana" w:cs="Verdana" w:eastAsia="Verdana" w:hAnsi="Verdana"/>
          <w:sz w:val="16"/>
          <w:szCs w:val="16"/>
        </w:rPr>
        <w:t xml:space="preserve"> and its step response to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1.5×10⁻³</w:t>
      </w:r>
      <w:r>
        <w:rPr>
          <w:rFonts w:ascii="Verdana" w:cs="Verdana" w:eastAsia="Verdana" w:hAnsi="Verdana"/>
          <w:sz w:val="16"/>
          <w:szCs w:val="16"/>
        </w:rPr>
        <w:t xml:space="preserve"> (about 0.15%; Fig. 2), and is stable. This is the key result that makes everything downstream trustworthy: the model is small enough to run on the target microcontroller yet faithful to the real dynamics.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Figure 1. Hankel singular values (normalized); r = 30 (dashed) retains all meaningful input–output dynamics.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5334000" cy="433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Figure 2. Full (120-mode) vs. reduced (r = 30) step response for the dominant heater→sensor pair; the reduction preserves the input–output map to ~0.15%.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The LQR design.</w:t>
      </w:r>
      <w:r>
        <w:rPr>
          <w:rFonts w:ascii="Verdana" w:cs="Verdana" w:eastAsia="Verdana" w:hAnsi="Verdana"/>
          <w:sz w:val="16"/>
          <w:szCs w:val="16"/>
        </w:rPr>
        <w:t xml:space="preserve"> On the 30-state model (linearized about T_op = 55 K) I design a linear-quadratic regulator: choose the feedback </w:t>
      </w:r>
      <w:r>
        <w:rPr>
          <w:rFonts w:ascii="Verdana" w:cs="Verdana" w:eastAsia="Verdana" w:hAnsi="Verdana"/>
          <w:sz w:val="16"/>
          <w:szCs w:val="16"/>
        </w:rPr>
        <w:t xml:space="preserve">u = −K x</w:t>
      </w:r>
      <w:r>
        <w:rPr>
          <w:rFonts w:ascii="Verdana" w:cs="Verdana" w:eastAsia="Verdana" w:hAnsi="Verdana"/>
          <w:sz w:val="16"/>
          <w:szCs w:val="16"/>
        </w:rPr>
        <w:t xml:space="preserve"> that minimizes the cost </w:t>
      </w:r>
      <w:r>
        <w:rPr>
          <w:rFonts w:ascii="Verdana" w:cs="Verdana" w:eastAsia="Verdana" w:hAnsi="Verdana"/>
          <w:sz w:val="16"/>
          <w:szCs w:val="16"/>
        </w:rPr>
        <w:t xml:space="preserve">∫ (yᵀy + ρ uᵀu) dt</w:t>
      </w:r>
      <w:r>
        <w:rPr>
          <w:rFonts w:ascii="Verdana" w:cs="Verdana" w:eastAsia="Verdana" w:hAnsi="Verdana"/>
          <w:sz w:val="16"/>
          <w:szCs w:val="16"/>
        </w:rPr>
        <w:t xml:space="preserve">, which trades tracking accuracy against heater effort. The gain </w:t>
      </w:r>
      <w:r>
        <w:rPr>
          <w:rFonts w:ascii="Verdana" w:cs="Verdana" w:eastAsia="Verdana" w:hAnsi="Verdana"/>
          <w:sz w:val="16"/>
          <w:szCs w:val="16"/>
        </w:rPr>
        <w:t xml:space="preserve">K</w:t>
      </w:r>
      <w:r>
        <w:rPr>
          <w:rFonts w:ascii="Verdana" w:cs="Verdana" w:eastAsia="Verdana" w:hAnsi="Verdana"/>
          <w:sz w:val="16"/>
          <w:szCs w:val="16"/>
        </w:rPr>
        <w:t xml:space="preserve"> (33 × 30) comes from solving the associated algebraic Riccati equation, with effort weight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ρ = 0.3</w:t>
      </w:r>
      <w:r>
        <w:rPr>
          <w:rFonts w:ascii="Verdana" w:cs="Verdana" w:eastAsia="Verdana" w:hAnsi="Verdana"/>
          <w:sz w:val="16"/>
          <w:szCs w:val="16"/>
        </w:rPr>
        <w:t xml:space="preserve">. The supporting pieces use a Tikhonov regularization fraction of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10⁻³</w:t>
      </w:r>
      <w:r>
        <w:rPr>
          <w:rFonts w:ascii="Verdana" w:cs="Verdana" w:eastAsia="Verdana" w:hAnsi="Verdana"/>
          <w:sz w:val="16"/>
          <w:szCs w:val="16"/>
        </w:rPr>
        <w:t xml:space="preserve"> for the static estimator and an integral gain of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0.08</w:t>
      </w:r>
      <w:r>
        <w:rPr>
          <w:rFonts w:ascii="Verdana" w:cs="Verdana" w:eastAsia="Verdana" w:hAnsi="Verdana"/>
          <w:sz w:val="16"/>
          <w:szCs w:val="16"/>
        </w:rPr>
        <w:t xml:space="preserve">.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Why LQR is the right tool here:</w:t>
      </w:r>
      <w:r>
        <w:rPr>
          <w:rFonts w:ascii="Verdana" w:cs="Verdana" w:eastAsia="Verdana" w:hAnsi="Verdana"/>
          <w:sz w:val="16"/>
          <w:szCs w:val="16"/>
        </w:rPr>
        <w:t xml:space="preserve"> it produces an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optimal, fully coordinated</w:t>
      </w:r>
      <w:r>
        <w:rPr>
          <w:rFonts w:ascii="Verdana" w:cs="Verdana" w:eastAsia="Verdana" w:hAnsi="Verdana"/>
          <w:sz w:val="16"/>
          <w:szCs w:val="16"/>
        </w:rPr>
        <w:t xml:space="preserve"> multivariable law — every heater's command uses the entire state estimate, so the controller actively works with the cross-coupling instead of fighting it, which is exactly what independent PID loops cannot do. Figure 3 shows this directly: </w:t>
      </w:r>
      <w:r>
        <w:rPr>
          <w:rFonts w:ascii="Verdana" w:cs="Verdana" w:eastAsia="Verdana" w:hAnsi="Verdana"/>
          <w:sz w:val="16"/>
          <w:szCs w:val="16"/>
        </w:rPr>
        <w:t xml:space="preserve">K</w:t>
      </w:r>
      <w:r>
        <w:rPr>
          <w:rFonts w:ascii="Verdana" w:cs="Verdana" w:eastAsia="Verdana" w:hAnsi="Verdana"/>
          <w:sz w:val="16"/>
          <w:szCs w:val="16"/>
        </w:rPr>
        <w:t xml:space="preserve"> is dense, and several heaters draw on shared modes. Around the LQR core sit three supporting pieces: a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static state estimator</w:t>
      </w:r>
      <w:r>
        <w:rPr>
          <w:rFonts w:ascii="Verdana" w:cs="Verdana" w:eastAsia="Verdana" w:hAnsi="Verdana"/>
          <w:sz w:val="16"/>
          <w:szCs w:val="16"/>
        </w:rPr>
        <w:t xml:space="preserve"> that reconstructs the 30 states from the 72 sensor readings, a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regularized steady-state feedforward</w:t>
      </w:r>
      <w:r>
        <w:rPr>
          <w:rFonts w:ascii="Verdana" w:cs="Verdana" w:eastAsia="Verdana" w:hAnsi="Verdana"/>
          <w:sz w:val="16"/>
          <w:szCs w:val="16"/>
        </w:rPr>
        <w:t xml:space="preserve"> that supplies the open-loop power to reach a setpoint, and an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integral term</w:t>
      </w:r>
      <w:r>
        <w:rPr>
          <w:rFonts w:ascii="Verdana" w:cs="Verdana" w:eastAsia="Verdana" w:hAnsi="Verdana"/>
          <w:sz w:val="16"/>
          <w:szCs w:val="16"/>
        </w:rPr>
        <w:t xml:space="preserve"> that removes residual offset from model error and the uncertain radiation load.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5334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Figure 3. LQR feedback gain K (u = −Kx); its density shows genuinely coordinated multivariable control across all 33 heaters.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The main drawback — one-sided inputs.</w:t>
      </w:r>
      <w:r>
        <w:rPr>
          <w:rFonts w:ascii="Verdana" w:cs="Verdana" w:eastAsia="Verdana" w:hAnsi="Verdana"/>
          <w:sz w:val="16"/>
          <w:szCs w:val="16"/>
        </w:rPr>
        <w:t xml:space="preserve"> LQR is optimal for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unconstrained, bidirectional</w:t>
      </w:r>
      <w:r>
        <w:rPr>
          <w:rFonts w:ascii="Verdana" w:cs="Verdana" w:eastAsia="Verdana" w:hAnsi="Verdana"/>
          <w:sz w:val="16"/>
          <w:szCs w:val="16"/>
        </w:rPr>
        <w:t xml:space="preserve"> inputs, but HISPEC's heaters can only add heat (</w:t>
      </w:r>
      <w:r>
        <w:rPr>
          <w:rFonts w:ascii="Verdana" w:cs="Verdana" w:eastAsia="Verdana" w:hAnsi="Verdana"/>
          <w:sz w:val="16"/>
          <w:szCs w:val="16"/>
        </w:rPr>
        <w:t xml:space="preserve">u ≥ 0</w:t>
      </w:r>
      <w:r>
        <w:rPr>
          <w:rFonts w:ascii="Verdana" w:cs="Verdana" w:eastAsia="Verdana" w:hAnsi="Verdana"/>
          <w:sz w:val="16"/>
          <w:szCs w:val="16"/>
        </w:rPr>
        <w:t xml:space="preserve">) and are capped (</w:t>
      </w:r>
      <w:r>
        <w:rPr>
          <w:rFonts w:ascii="Verdana" w:cs="Verdana" w:eastAsia="Verdana" w:hAnsi="Verdana"/>
          <w:sz w:val="16"/>
          <w:szCs w:val="16"/>
        </w:rPr>
        <w:t xml:space="preserve">u ≤ u_max</w:t>
      </w:r>
      <w:r>
        <w:rPr>
          <w:rFonts w:ascii="Verdana" w:cs="Verdana" w:eastAsia="Verdana" w:hAnsi="Verdana"/>
          <w:sz w:val="16"/>
          <w:szCs w:val="16"/>
        </w:rPr>
        <w:t xml:space="preserve">). When the ideal LQR command would be negative — i.e. the controller wants to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cool</w:t>
      </w:r>
      <w:r>
        <w:rPr>
          <w:rFonts w:ascii="Verdana" w:cs="Verdana" w:eastAsia="Verdana" w:hAnsi="Verdana"/>
          <w:sz w:val="16"/>
          <w:szCs w:val="16"/>
        </w:rPr>
        <w:t xml:space="preserve"> — it simply cannot, and must wait for passive/cryocooler cooling; when it saturates high, the optimality guarantees no longer hold. Right now this is handled pragmatically with clamping, output slew-limiting, and integral anti-windup, but that is a patch on top of a controller that does not know about the constraint. The controller also inherits any error in the reduced model.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How I am addressing the deficiencies.</w:t>
      </w:r>
      <w:r>
        <w:rPr>
          <w:rFonts w:ascii="Verdana" w:cs="Verdana" w:eastAsia="Verdana" w:hAnsi="Verdana"/>
          <w:sz w:val="16"/>
          <w:szCs w:val="16"/>
        </w:rPr>
        <w:t xml:space="preserve"> Two directions: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• 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Adaptive feedforward</w:t>
      </w:r>
      <w:r>
        <w:rPr>
          <w:rFonts w:ascii="Verdana" w:cs="Verdana" w:eastAsia="Verdana" w:hAnsi="Verdana"/>
          <w:sz w:val="16"/>
          <w:szCs w:val="16"/>
        </w:rPr>
        <w:t xml:space="preserve"> — update the steady-state feedforward online so it absorbs model error and the (poorly known) radiation load instead of relying on a fixed, model-derived gain. This directly attacks the "</w:t>
      </w:r>
      <w:r>
        <w:rPr>
          <w:rFonts w:ascii="Verdana" w:cs="Verdana" w:eastAsia="Verdana" w:hAnsi="Verdana"/>
          <w:sz w:val="16"/>
          <w:szCs w:val="16"/>
        </w:rPr>
        <w:t xml:space="preserve">G</w:t>
      </w:r>
      <w:r>
        <w:rPr>
          <w:rFonts w:ascii="Verdana" w:cs="Verdana" w:eastAsia="Verdana" w:hAnsi="Verdana"/>
          <w:sz w:val="16"/>
          <w:szCs w:val="16"/>
        </w:rPr>
        <w:t xml:space="preserve"> is unreliable" problem.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• 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Reduced-order MPC</w:t>
      </w:r>
      <w:r>
        <w:rPr>
          <w:rFonts w:ascii="Verdana" w:cs="Verdana" w:eastAsia="Verdana" w:hAnsi="Verdana"/>
          <w:sz w:val="16"/>
          <w:szCs w:val="16"/>
        </w:rPr>
        <w:t xml:space="preserve"> — model-predictive control on the same 30-state model, which handles the input constraints (</w:t>
      </w:r>
      <w:r>
        <w:rPr>
          <w:rFonts w:ascii="Verdana" w:cs="Verdana" w:eastAsia="Verdana" w:hAnsi="Verdana"/>
          <w:sz w:val="16"/>
          <w:szCs w:val="16"/>
        </w:rPr>
        <w:t xml:space="preserve">0 ≤ u ≤ u_max</w:t>
      </w:r>
      <w:r>
        <w:rPr>
          <w:rFonts w:ascii="Verdana" w:cs="Verdana" w:eastAsia="Verdana" w:hAnsi="Verdana"/>
          <w:sz w:val="16"/>
          <w:szCs w:val="16"/>
        </w:rPr>
        <w:t xml:space="preserve">, slew limits)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explicitly and optimally</w:t>
      </w:r>
      <w:r>
        <w:rPr>
          <w:rFonts w:ascii="Verdana" w:cs="Verdana" w:eastAsia="Verdana" w:hAnsi="Verdana"/>
          <w:sz w:val="16"/>
          <w:szCs w:val="16"/>
        </w:rPr>
        <w:t xml:space="preserve"> rather than by clamping. This is the principled fix for the one-sided actuation, and the small reduced model is what makes MPC computationally feasible for on-board use.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8"/>
          <w:szCs w:val="18"/>
        </w:rPr>
        <w:t xml:space="preserve">Problems encountered, and remaining goals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Problems and how I am solving them.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• 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Hollow-shell geometry</w:t>
      </w:r>
      <w:r>
        <w:rPr>
          <w:rFonts w:ascii="Verdana" w:cs="Verdana" w:eastAsia="Verdana" w:hAnsi="Verdana"/>
          <w:sz w:val="16"/>
          <w:szCs w:val="16"/>
        </w:rPr>
        <w:t xml:space="preserve"> (Thread 1): the GLB import drops solids, so absolute numbers are unrepresentative. Being fixed with a STEP/B-rep solid-fill import.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• 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One-sided, constrained actuation</w:t>
      </w:r>
      <w:r>
        <w:rPr>
          <w:rFonts w:ascii="Verdana" w:cs="Verdana" w:eastAsia="Verdana" w:hAnsi="Verdana"/>
          <w:sz w:val="16"/>
          <w:szCs w:val="16"/>
        </w:rPr>
        <w:t xml:space="preserve"> (Thread 2): breaks LQR optimality; being addressed with adaptive feedforward and reduced-order MPC.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•  </w:t>
      </w:r>
      <w:r>
        <w:rPr>
          <w:rFonts w:ascii="Verdana" w:cs="Verdana" w:eastAsia="Verdana" w:hAnsi="Verdana"/>
          <w:i/>
          <w:iCs/>
          <w:sz w:val="16"/>
          <w:szCs w:val="16"/>
        </w:rPr>
        <w:t xml:space="preserve">Reliance on a model-derived gain without system identification</w:t>
      </w:r>
      <w:r>
        <w:rPr>
          <w:rFonts w:ascii="Verdana" w:cs="Verdana" w:eastAsia="Verdana" w:hAnsi="Verdana"/>
          <w:sz w:val="16"/>
          <w:szCs w:val="16"/>
        </w:rPr>
        <w:t xml:space="preserve">: the whole approach exists precisely to sidestep sys-id on absent hardware, but it means the controllers must be robust to model error — hence the integral action now and adaptive feedforward next.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Goals for the remainder, and how they have changed.</w:t>
      </w:r>
      <w:r>
        <w:rPr>
          <w:rFonts w:ascii="Verdana" w:cs="Verdana" w:eastAsia="Verdana" w:hAnsi="Verdana"/>
          <w:sz w:val="16"/>
          <w:szCs w:val="16"/>
        </w:rPr>
        <w:t xml:space="preserve"> The immediate goals are: (1) re-run the pipeline on solid-filled STEP geometry for a representative model; (2) implement adaptive feedforward and a reduced-order MPC to handle the one-sided constraints properly; (3) add surface-to-surface radiative coupling and rebuild the conduction operator with </w:t>
      </w:r>
      <w:r>
        <w:rPr>
          <w:rFonts w:ascii="Verdana" w:cs="Verdana" w:eastAsia="Verdana" w:hAnsi="Verdana"/>
          <w:sz w:val="16"/>
          <w:szCs w:val="16"/>
        </w:rPr>
        <w:t xml:space="preserve">k(T)</w:t>
      </w:r>
      <w:r>
        <w:rPr>
          <w:rFonts w:ascii="Verdana" w:cs="Verdana" w:eastAsia="Verdana" w:hAnsi="Verdana"/>
          <w:sz w:val="16"/>
          <w:szCs w:val="16"/>
        </w:rPr>
        <w:t xml:space="preserve"> at the operating point for higher fidelity; and (4) eventually validate against the real hardware once it exists. The emphasis has shifted since the start: the project began focused on getting a forward simulation to run with a basic PID, but as the coupling and constraint structure became clear, the center of gravity moved to </w:t>
      </w:r>
      <w:r>
        <w:rPr>
          <w:rFonts w:ascii="Verdana" w:cs="Verdana" w:eastAsia="Verdana" w:hAnsi="Verdana"/>
          <w:b/>
          <w:bCs/>
          <w:sz w:val="16"/>
          <w:szCs w:val="16"/>
        </w:rPr>
        <w:t xml:space="preserve">model reduction and optimal, constrained multivariable control</w:t>
      </w:r>
      <w:r>
        <w:rPr>
          <w:rFonts w:ascii="Verdana" w:cs="Verdana" w:eastAsia="Verdana" w:hAnsi="Verdana"/>
          <w:sz w:val="16"/>
          <w:szCs w:val="16"/>
        </w:rPr>
        <w:t xml:space="preserve"> — and, in parallel, to improving the simulator's physical fidelity from shells to filled solids.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Figures generated from the CRYOSTAT_V2 model; see `docs/surf_report/make_figures.py` and the validation runner. Background and hardware details are in Interim Report 1.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87c5d2959235446cc6e9f0eb7c34b75e51bee0f.png"/><Relationship Id="rId8" Type="http://schemas.openxmlformats.org/officeDocument/2006/relationships/image" Target="media/868b61f249f7279624c5f031fcbb347ee707d884.png"/><Relationship Id="rId9" Type="http://schemas.openxmlformats.org/officeDocument/2006/relationships/image" Target="media/7cceebaee2625ca9114f0618b7d4eaff1f935c10.png"/><Relationship Id="rId10" Type="http://schemas.openxmlformats.org/officeDocument/2006/relationships/image" Target="media/901267ad5dbcb5122893e9219098ab57bc149836.png"/><Relationship Id="rId11" Type="http://schemas.openxmlformats.org/officeDocument/2006/relationships/image" Target="media/521d78f6d6bbe736c38b003d7212529e9ec94fa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2026-07-30T22:03:07.667Z</dcterms:created>
  <dcterms:modified xsi:type="dcterms:W3CDTF">2026-07-30T22:03:07.667Z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