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b/>
          <w:bCs/>
          <w:color w:val="C8102E"/>
          <w:sz w:val="22"/>
          <w:szCs w:val="22"/>
        </w:rPr>
        <w:t xml:space="preserve">GUIDA DI COSTRUZIONE — POWER BI</w:t>
      </w:r>
    </w:p>
    <w:p>
      <w:pPr>
        <w:pStyle w:val="Title2"/>
      </w:pPr>
      <w:r>
        <w:t xml:space="preserve">Report Spare Parts Analytics</w:t>
      </w:r>
    </w:p>
    <w:p>
      <w:pPr>
        <w:spacing w:after="100"/>
      </w:pPr>
      <w:r>
        <w:rPr>
          <w:color w:val="54565A"/>
          <w:sz w:val="24"/>
          <w:szCs w:val="24"/>
        </w:rPr>
        <w:t xml:space="preserve">Scheletro delle 3 pagine da replicare in Power BI Desktop — visual, campi, KPI e testi pronti da copiare.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Manitou Spare Parts Analytics.pbix (sul Desktop) — modello e 37 misure già pronti.</w:t>
      </w:r>
    </w:p>
    <w:p>
      <w:pPr>
        <w:pStyle w:val="Heading1"/>
      </w:pPr>
      <w:r>
        <w:t xml:space="preserve">Come inserire ogni elemento (promemoria rapido)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Come aggiungerlo in Power BI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Casella di testo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Scheda Inserisci → Casella di testo. Incolla il testo indicato e formatta titolo/sottotitolo.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KPI Card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Riquadro Visualizzazioni → icona "Scheda" (numero singolo). Trascina la misura in Campi.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Grafico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Seleziona l'icona del tipo (barre, righe, torta…) poi trascina i campi nei pozzetti Asse/Legenda/Valori.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Slicer (filtro)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Icona "Filtro dei dati" (Slicer). Trascina la colonna. Formato → imposta orizzontale/elenco.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Linea target (95%)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Seleziona il grafico → riquadro "Analisi" (icona lente) → Linea costante → Valore 0,95.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Formattazione condizionale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Formato visivo → Elementi → Colori dati → fx → Formato in base a Regole (rosso se &lt; soglia).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Ordina visual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"…" in alto a destra del visual → Ordina per → scegli misura → decrescente.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Nota sui nomi: </w:t>
            </w:r>
            <w:r>
              <w:t xml:space="preserve">i campi tra parentesi quadre come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[Ricavo Ricambi]</w:t>
            </w:r>
            <w:r>
              <w:t xml:space="preserve"> sono MISURE (già nel modello). I nomi come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dim_region[Regione]</w:t>
            </w:r>
            <w:r>
              <w:t xml:space="preserve"> sono COLONNE delle tabelle. In Power BI le trovi nel riquadro Dati a destra.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Pagina 1 — Executive Overview</w:t>
      </w:r>
    </w:p>
    <w:p>
      <w:pPr>
        <w:spacing w:after="100"/>
      </w:pPr>
      <w:r>
        <w:rPr>
          <w:b/>
          <w:bCs/>
        </w:rPr>
        <w:t xml:space="preserve">Obiettivo: </w:t>
      </w:r>
      <w:r>
        <w:t xml:space="preserve">vista d'insieme per il management — andamento ricavi ricambi, livello di servizio e contesto strategico (dati reali).</w:t>
      </w:r>
    </w:p>
    <w:p>
      <w:pPr>
        <w:pStyle w:val="Heading3"/>
      </w:pPr>
      <w:r>
        <w:t xml:space="preserve">Fascia titolo (in alto)</w:t>
      </w:r>
    </w:p>
    <w:p>
      <w:pPr>
        <w:spacing w:after="100"/>
      </w:pPr>
      <w:r>
        <w:rPr>
          <w:b/>
          <w:bCs/>
        </w:rPr>
        <w:t xml:space="preserve">Casella di testo 1 (titolo):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Spare Parts Availability Analytics — Executive Overview</w:t>
            </w:r>
          </w:p>
        </w:tc>
      </w:tr>
    </w:tbl>
    <w:p>
      <w:pPr>
        <w:spacing w:after="100"/>
      </w:pPr>
      <w:r>
        <w:rPr>
          <w:b/>
          <w:bCs/>
        </w:rPr>
        <w:t xml:space="preserve">Casella di testo 2 (sottotitolo):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</w:rPr>
              <w:t xml:space="preserve">Manitou Group · After-sales / Ricambi · a supporto del piano strategico LIFT 2025-2030</w:t>
            </w:r>
          </w:p>
        </w:tc>
      </w:tr>
    </w:tbl>
    <w:p>
      <w:pPr>
        <w:pStyle w:val="Heading3"/>
      </w:pPr>
      <w:r>
        <w:t xml:space="preserve">Slicer (sotto il titolo, in riga)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dim_date[Anno]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dim_region[Regione]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dim_product_family[Brand]</w:t>
            </w:r>
          </w:p>
        </w:tc>
      </w:tr>
    </w:tbl>
    <w:p>
      <w:pPr>
        <w:pStyle w:val="Heading3"/>
      </w:pPr>
      <w:r>
        <w:t xml:space="preserve">Riga KPI Card (5 schede affiancate)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26"/>
        <w:gridCol w:w="2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 (titolo)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Ricavo Ricambi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[Ricavo Ricambi]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Valuta €, 0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Fill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[Line Fill Rate]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Percentuale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OTIF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[OTIF %]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Percentuale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 at Risk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[Revenue at Risk]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Valuta €, 0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Rotazione stock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[Indice Rotazione Stock]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 1 dec.</w:t>
            </w:r>
          </w:p>
        </w:tc>
      </w:tr>
    </w:tbl>
    <w:p>
      <w:pPr>
        <w:pStyle w:val="Heading3"/>
      </w:pPr>
      <w:r>
        <w:t xml:space="preserve">Grafici (griglia sotto le card)</w:t>
      </w:r>
    </w:p>
    <w:p>
      <w:pPr>
        <w:spacing w:after="100"/>
      </w:pPr>
      <w:r>
        <w:rPr>
          <w:b/>
          <w:bCs/>
        </w:rPr>
        <w:t xml:space="preserve">A) Grafico a righe — Andamento ricavi ricambi vs anno precedente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X: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dim_date[AnnoMese]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[Ricavo Ricambi]</w:t>
      </w:r>
      <w:r>
        <w:t xml:space="preserve"> 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[Ricavo Ricambi PY]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Titolo: </w:t>
      </w:r>
      <w:r>
        <w:t xml:space="preserve">"Ricavo ricambi per mese (vs anno precedente)"</w:t>
      </w:r>
    </w:p>
    <w:p>
      <w:pPr>
        <w:spacing w:after="100"/>
      </w:pPr>
      <w:r>
        <w:rPr>
          <w:b/>
          <w:bCs/>
        </w:rPr>
        <w:t xml:space="preserve">B) Istogramma a colonne — Ricavo per regione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X: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dim_region[Regione]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[Ricavo Ricambi]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Titolo: </w:t>
      </w:r>
      <w:r>
        <w:t xml:space="preserve">"Ricavo ricambi per regione"</w:t>
      </w:r>
    </w:p>
    <w:p>
      <w:pPr>
        <w:spacing w:after="100"/>
      </w:pPr>
      <w:r>
        <w:rPr>
          <w:b/>
          <w:bCs/>
        </w:rPr>
        <w:t xml:space="preserve">C) Grafico ad anello (donut) — Mix ordini Stock vs VOR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Legenda: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fact_parts_orders[TipoOrdine]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[Righe Ordine]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Titolo: </w:t>
      </w:r>
      <w:r>
        <w:t xml:space="preserve">"Mix ordini: Stock vs VOR (urgenti)"</w:t>
      </w:r>
    </w:p>
    <w:p>
      <w:pPr>
        <w:spacing w:after="100"/>
      </w:pPr>
      <w:r>
        <w:rPr>
          <w:b/>
          <w:bCs/>
        </w:rPr>
        <w:t xml:space="preserve">D) Scheda KPI con variazione — Crescita YoY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Visual: </w:t>
      </w:r>
      <w:r>
        <w:t xml:space="preserve">"KPI" (non Scheda). </w:t>
      </w:r>
      <w:r>
        <w:rPr>
          <w:b/>
          <w:bCs/>
        </w:rPr>
        <w:t xml:space="preserve">Indicatore: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[Ricavo Ricambi]</w:t>
      </w:r>
      <w:r>
        <w:t xml:space="preserve">; </w:t>
      </w:r>
      <w:r>
        <w:rPr>
          <w:b/>
          <w:bCs/>
        </w:rPr>
        <w:t xml:space="preserve">Asse: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dim_date[AnnoMese]</w:t>
      </w:r>
      <w:r>
        <w:t xml:space="preserve">; </w:t>
      </w:r>
      <w:r>
        <w:rPr>
          <w:b/>
          <w:bCs/>
        </w:rPr>
        <w:t xml:space="preserve">Obiettivo: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[Ricavo Ricambi PY]</w:t>
      </w:r>
    </w:p>
    <w:p>
      <w:pPr>
        <w:pStyle w:val="Heading3"/>
      </w:pPr>
      <w:r>
        <w:t xml:space="preserve">Pannello "Dati reali Manitou" (riquadro a destra, fonte pubblica)</w:t>
      </w:r>
    </w:p>
    <w:p>
      <w:pPr>
        <w:spacing w:after="100"/>
      </w:pPr>
      <w:r>
        <w:t xml:space="preserve">Aggiungi una casella di testo titolo e 3 card piccole. Servono a dare contesto strategico (cifre reali).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26"/>
        <w:gridCol w:w="2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Ricavi Gruppo (reale)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[Ricavi Gruppo reale]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 (M€)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Ricavi Servizi (reale)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[Ricavi Servizi reale]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 (M€)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Peso Servizi / Gruppo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[Peso Servizi su Gruppo reale]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Percentuale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Importante: </w:t>
            </w:r>
            <w:r>
              <w:t xml:space="preserve">filtra queste 3 card su un solo anno (es. 2025) aggiungendo un filtro a livello di visual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fact_financials_real[Anno] = 2025</w:t>
            </w:r>
            <w:r>
              <w:t xml:space="preserve">, altrimenti sommano 2024+2025. Aggiungi una casella di testo: "Dati reali — Fonte: Manitou 2025 annual results".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Pagina 2 — Disponibilità (Service Level)</w:t>
      </w:r>
    </w:p>
    <w:p>
      <w:pPr>
        <w:spacing w:after="100"/>
      </w:pPr>
      <w:r>
        <w:rPr>
          <w:b/>
          <w:bCs/>
        </w:rPr>
        <w:t xml:space="preserve">Obiettivo: </w:t>
      </w:r>
      <w:r>
        <w:t xml:space="preserve">dove si perde disponibilità e quanto costa — fill rate per categoria/regione, OTIF, e SKU critici per ricavo a rischio.</w:t>
      </w:r>
    </w:p>
    <w:p>
      <w:pPr>
        <w:pStyle w:val="Heading3"/>
      </w:pPr>
      <w:r>
        <w:t xml:space="preserve">Fascia titolo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Disponibilità ricambi — Fill Rate, OTIF e Revenue at Risk</w:t>
            </w:r>
          </w:p>
        </w:tc>
      </w:tr>
    </w:tbl>
    <w:p>
      <w:pPr>
        <w:pStyle w:val="Heading3"/>
      </w:pPr>
      <w:r>
        <w:t xml:space="preserve">Slicer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dim_date[Anno]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dim_region[Regione]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dim_part_category[Categoria]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Tipo ordine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fact_parts_orders[TipoOrdine]</w:t>
            </w:r>
          </w:p>
        </w:tc>
      </w:tr>
    </w:tbl>
    <w:p>
      <w:pPr>
        <w:pStyle w:val="Heading3"/>
      </w:pPr>
      <w:r>
        <w:t xml:space="preserve">Riga KPI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26"/>
        <w:gridCol w:w="2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 Fill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[Line Fill Rate]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 Fill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[Unit Fill Rate]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OTIF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[OTIF %]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Fill Rate VOR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[Fill Rate VOR]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Quota VOR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[Quota VOR %]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1 dec.</w:t>
            </w:r>
          </w:p>
        </w:tc>
      </w:tr>
    </w:tbl>
    <w:p>
      <w:pPr>
        <w:pStyle w:val="Heading3"/>
      </w:pPr>
      <w:r>
        <w:t xml:space="preserve">Grafici</w:t>
      </w:r>
    </w:p>
    <w:p>
      <w:pPr>
        <w:spacing w:after="100"/>
      </w:pPr>
      <w:r>
        <w:rPr>
          <w:b/>
          <w:bCs/>
        </w:rPr>
        <w:t xml:space="preserve">A) Barre orizzontali — Fill rate per categoria (con target 95%)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Y: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dim_part_category[Categoria]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[Line Fill Rate]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Analisi → Linea costante = 0,95 </w:t>
      </w:r>
      <w:r>
        <w:t xml:space="preserve">(target). </w:t>
      </w:r>
      <w:r>
        <w:rPr>
          <w:b/>
          <w:bCs/>
        </w:rPr>
        <w:t xml:space="preserve">Colori dati: </w:t>
      </w:r>
      <w:r>
        <w:t xml:space="preserve">formattazione condizionale rosso se &lt; 0,92.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Ordina per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[Line Fill Rate]</w:t>
      </w:r>
      <w:r>
        <w:t xml:space="preserve"> crescente.</w:t>
      </w:r>
    </w:p>
    <w:p>
      <w:pPr>
        <w:spacing w:after="100"/>
      </w:pPr>
      <w:r>
        <w:rPr>
          <w:b/>
          <w:bCs/>
        </w:rPr>
        <w:t xml:space="preserve">B) Istogramma — Fill rate per regione e tier concessionario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X: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dim_region[Regione]</w:t>
      </w:r>
      <w:r>
        <w:t xml:space="preserve">; </w:t>
      </w:r>
      <w:r>
        <w:rPr>
          <w:b/>
          <w:bCs/>
        </w:rPr>
        <w:t xml:space="preserve">Legenda: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dim_dealer[TierConcessionario]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[Line Fill Rate]</w:t>
      </w:r>
    </w:p>
    <w:p>
      <w:pPr>
        <w:spacing w:after="100"/>
      </w:pPr>
      <w:r>
        <w:rPr>
          <w:b/>
          <w:bCs/>
        </w:rPr>
        <w:t xml:space="preserve">C) Grafico a righe — OTIF per mese (con target)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X: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dim_date[AnnoMese]</w:t>
      </w:r>
      <w:r>
        <w:t xml:space="preserve">; </w:t>
      </w: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[OTIF %]</w:t>
      </w:r>
      <w:r>
        <w:t xml:space="preserve">; </w:t>
      </w:r>
      <w:r>
        <w:rPr>
          <w:b/>
          <w:bCs/>
        </w:rPr>
        <w:t xml:space="preserve">Linea costante 0,95.</w:t>
      </w:r>
    </w:p>
    <w:p>
      <w:pPr>
        <w:spacing w:after="100"/>
      </w:pPr>
      <w:r>
        <w:rPr>
          <w:b/>
          <w:bCs/>
        </w:rPr>
        <w:t xml:space="preserve">D) Tabella/Matrice — SKU critici per ricavo a rischio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Righe: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dim_part[SKU]</w:t>
      </w:r>
      <w:r>
        <w:t xml:space="preserve"> (aggiungi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dim_part[ClasseABC]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dim_part[Critico_VOR]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[Righe Ordine]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[Line Fill Rate]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[Revenue at Risk]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[Opportunita Fill Target]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Ordina per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[Revenue at Risk]</w:t>
      </w:r>
      <w:r>
        <w:t xml:space="preserve"> decrescente. È la lista di intervento prioritaria.</w:t>
      </w:r>
    </w:p>
    <w:p>
      <w:pPr>
        <w:pStyle w:val="Heading3"/>
      </w:pPr>
      <w:r>
        <w:t xml:space="preserve">Casella di testo insight (in basso)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</w:rPr>
              <w:t xml:space="preserve">Le righe non evase da stock valgono ~3,07 M€ di ricavo a rischio su 24 mesi. Le categorie tecniche a lungo lead time (idraulica, motore, trasmissione, freni) sono sotto il target del 95%: sono le priorità di riordino.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Pagina 3 — Inventario &amp; Dead Stock</w:t>
      </w:r>
    </w:p>
    <w:p>
      <w:pPr>
        <w:spacing w:after="100"/>
      </w:pPr>
      <w:r>
        <w:rPr>
          <w:b/>
          <w:bCs/>
        </w:rPr>
        <w:t xml:space="preserve">Obiettivo: </w:t>
      </w:r>
      <w:r>
        <w:t xml:space="preserve">ottimizzare il capitale di magazzino — rotazione, copertura, codici morti e candidati al riordino.</w:t>
      </w:r>
    </w:p>
    <w:p>
      <w:pPr>
        <w:pStyle w:val="Heading3"/>
      </w:pPr>
      <w:r>
        <w:t xml:space="preserve">Fascia titolo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Inventario ricambi — Rotazione, copertura e capitale immobilizzato</w:t>
            </w:r>
          </w:p>
        </w:tc>
      </w:tr>
    </w:tbl>
    <w:p>
      <w:pPr>
        <w:pStyle w:val="Heading3"/>
      </w:pPr>
      <w:r>
        <w:t xml:space="preserve">Slicer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dim_date[AnnoMese]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Famiglia / Gamma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dim_product_family[Gamma]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Classe ABC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dim_part[ClasseABC]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dim_part[MoverClass]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Attenzione (onestà sul modello): </w:t>
            </w:r>
            <w:r>
              <w:t xml:space="preserve">i dati di magazzino sono per SKU (livello hub) e NON hanno regione/dealer. Quindi questa pagina si filtra per attributi prodotto (famiglia, ABC, mover) e per mese, ma non per regione/concessionario.</w:t>
            </w:r>
          </w:p>
        </w:tc>
      </w:tr>
    </w:tbl>
    <w:p>
      <w:pPr>
        <w:pStyle w:val="Heading3"/>
      </w:pPr>
      <w:r>
        <w:t xml:space="preserve">Riga KPI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26"/>
        <w:gridCol w:w="2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Valore giacenza medio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[Valore Giacenza Medio]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Valuta 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Rotazione stock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[Indice Rotazione Stock]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 1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Giorni copertura (DIO)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[Giorni di Copertura DIO]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Numero 0 dec.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Valore dead stock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[Valore Dead Stock]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Valuta 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capitale immob.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[% Capitale Immobilizzato]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1 dec.</w:t>
            </w:r>
          </w:p>
        </w:tc>
      </w:tr>
    </w:tbl>
    <w:p>
      <w:pPr>
        <w:pStyle w:val="Heading3"/>
      </w:pPr>
      <w:r>
        <w:t xml:space="preserve">Grafici</w:t>
      </w:r>
    </w:p>
    <w:p>
      <w:pPr>
        <w:spacing w:after="100"/>
      </w:pPr>
      <w:r>
        <w:rPr>
          <w:b/>
          <w:bCs/>
        </w:rPr>
        <w:t xml:space="preserve">A) Grafico a righe/colonne — Valore giacenza per mese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X: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fact_inventory_snapshot[AnnoMese]</w:t>
      </w:r>
      <w:r>
        <w:t xml:space="preserve">; </w:t>
      </w: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[Valore Giacenza]</w:t>
      </w:r>
    </w:p>
    <w:p>
      <w:pPr>
        <w:spacing w:after="100"/>
      </w:pPr>
      <w:r>
        <w:rPr>
          <w:b/>
          <w:bCs/>
        </w:rPr>
        <w:t xml:space="preserve">B) Barre — Valore dead stock per gamma prodotto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Y: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dim_product_family[Gamma]</w:t>
      </w:r>
      <w:r>
        <w:t xml:space="preserve">; </w:t>
      </w: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[Valore Dead Stock]</w:t>
      </w:r>
      <w:r>
        <w:t xml:space="preserve">. Ordina decrescente.</w:t>
      </w:r>
    </w:p>
    <w:p>
      <w:pPr>
        <w:spacing w:after="100"/>
      </w:pPr>
      <w:r>
        <w:rPr>
          <w:b/>
          <w:bCs/>
        </w:rPr>
        <w:t xml:space="preserve">C) Treemap — Valore giacenza per categoria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Categoria: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dim_part_category[Categoria]</w:t>
      </w:r>
      <w:r>
        <w:t xml:space="preserve">; </w:t>
      </w: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[Valore Giacenza]</w:t>
      </w:r>
    </w:p>
    <w:p>
      <w:pPr>
        <w:spacing w:after="100"/>
      </w:pPr>
      <w:r>
        <w:rPr>
          <w:b/>
          <w:bCs/>
        </w:rPr>
        <w:t xml:space="preserve">D) Istogramma — Distribuzione ABC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Asse X: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dim_part[ClasseABC]</w:t>
      </w:r>
      <w:r>
        <w:t xml:space="preserve">; </w:t>
      </w: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[Ricavo Ricambi]</w:t>
      </w:r>
      <w:r>
        <w:t xml:space="preserve"> 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[SKU Distinti]</w:t>
      </w:r>
      <w:r>
        <w:t xml:space="preserve"> (mostra che la classe A = pochi SKU ma gran parte del ricavo).</w:t>
      </w:r>
    </w:p>
    <w:p>
      <w:pPr>
        <w:spacing w:after="100"/>
      </w:pPr>
      <w:r>
        <w:rPr>
          <w:b/>
          <w:bCs/>
        </w:rPr>
        <w:t xml:space="preserve">E) Matrice — Candidati al riordino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Righe: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dim_part[SKU]</w:t>
      </w:r>
      <w:r>
        <w:t xml:space="preserve"> (+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dim_part[LeadTimeFornitore_gg]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Valori: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[Valore Giacenza]</w:t>
      </w:r>
      <w:r>
        <w:t xml:space="preserve">, colonne native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fact_inventory_snapshot[ReorderPoint]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fact_inventory_snapshot[GiacenzaPezzi]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fact_inventory_snapshot[GiorniCopertura]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Filtro visual: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FlagDeadStock = 0</w:t>
      </w:r>
      <w:r>
        <w:t xml:space="preserve"> e ordina per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[Valore Giacenza]</w:t>
      </w:r>
      <w:r>
        <w:t xml:space="preserve"> — evidenzia dove riordinare.</w:t>
      </w:r>
    </w:p>
    <w:p>
      <w:r>
        <w:br w:type="page"/>
      </w:r>
    </w:p>
    <w:p>
      <w:pPr>
        <w:pStyle w:val="Heading1"/>
      </w:pPr>
      <w:r>
        <w:t xml:space="preserve">Layout consigliato (stessa griglia per ogni pagina)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Fascia alta (~0-12%): </w:t>
      </w:r>
      <w:r>
        <w:t xml:space="preserve">titolo a sinistra, slicer a destra in riga.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Riga KPI (~12-30%): </w:t>
      </w:r>
      <w:r>
        <w:t xml:space="preserve">5 card affiancate a tutta larghezza.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Corpo (~30-90%): </w:t>
      </w:r>
      <w:r>
        <w:t xml:space="preserve">griglia 2×2 di grafici; la tabella/matrice occupa la colonna o la riga più larga.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Piè di pagina (~90-100%): </w:t>
      </w:r>
      <w:r>
        <w:t xml:space="preserve">casella di testo con insight + nota fonte.</w:t>
      </w:r>
    </w:p>
    <w:p>
      <w:pPr>
        <w:spacing w:after="100"/>
      </w:pPr>
      <w:r>
        <w:rPr>
          <w:b/>
          <w:bCs/>
        </w:rPr>
        <w:t xml:space="preserve">Coerenza: </w:t>
      </w:r>
      <w:r>
        <w:t xml:space="preserve">usa rosso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#C8102E</w:t>
      </w:r>
      <w:r>
        <w:t xml:space="preserve"> per gli elementi chiave e grigio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#54565A</w:t>
      </w:r>
      <w:r>
        <w:t xml:space="preserve"> per i secondari (richiama i grafici del documento di progetto). Rinomina ogni pagina in basso (doppio clic sulla linguetta): "1 · Overview", "2 · Disponibilità", "3 · Inventario".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Suggerimento finale: </w:t>
            </w:r>
            <w:r>
              <w:t xml:space="preserve">dopo aver costruito la Pagina 1, usa </w:t>
            </w:r>
            <w:r>
              <w:rPr>
                <w:b/>
                <w:bCs/>
              </w:rPr>
              <w:t xml:space="preserve">Visualizza → Tema </w:t>
            </w:r>
            <w:r>
              <w:t xml:space="preserve">per applicare colori coerenti, e attiva i tooltip trascinando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[Revenue at Risk]</w:t>
            </w:r>
            <w:r>
              <w:t xml:space="preserve"> nel pozzetto "Descrizioni comando" dei grafici principali.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565A"/>
        <w:sz w:val="15"/>
        <w:szCs w:val="15"/>
      </w:rPr>
      <w:t xml:space="preserve">Pag. </w:t>
    </w:r>
    <w:r>
      <w:rPr>
        <w:color w:val="5456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4565A"/>
        <w:sz w:val="15"/>
        <w:szCs w:val="15"/>
      </w:rPr>
      <w:t xml:space="preserve">Guida report Power BI — Manitou Spare Parts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pPr>
      <w:spacing w:after="80"/>
    </w:pPr>
    <w:rPr>
      <w:b/>
      <w:bCs/>
      <w:color w:val="000000"/>
      <w:sz w:val="46"/>
      <w:szCs w:val="46"/>
    </w:rPr>
  </w:style>
  <w:style w:type="paragraph" w:styleId="Heading1">
    <w:name w:val="Heading 1"/>
    <w:basedOn w:val="Normal"/>
    <w:next w:val="Normal"/>
    <w:qFormat/>
    <w:pPr>
      <w:pBdr>
        <w:bottom w:val="single" w:color="C8102E" w:sz="6" w:space="4"/>
      </w:pBdr>
      <w:spacing w:after="130" w:before="260"/>
      <w:outlineLvl w:val="0"/>
    </w:pPr>
    <w:rPr>
      <w:b/>
      <w:bCs/>
      <w:color w:val="C81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30"/>
      <w:outlineLvl w:val="2"/>
    </w:pPr>
    <w:rPr>
      <w:b/>
      <w:bCs/>
      <w:color w:val="C810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2026-06-27T11:01:26.827Z</dcterms:created>
  <dcterms:modified xsi:type="dcterms:W3CDTF">2026-06-27T11:01:26.830Z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