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C8102E"/>
          <w:sz w:val="22"/>
          <w:szCs w:val="22"/>
        </w:rPr>
        <w:t xml:space="preserve">PROGETTO DATA ANALYST</w:t>
      </w:r>
    </w:p>
    <w:p>
      <w:pPr>
        <w:pStyle w:val="Title2"/>
        <w:spacing w:after="40"/>
      </w:pPr>
      <w:r>
        <w:t xml:space="preserve">Spare Parts Availability Analytics</w:t>
      </w:r>
    </w:p>
    <w:p>
      <w:pPr>
        <w:spacing w:after="300"/>
      </w:pPr>
      <w:r>
        <w:rPr>
          <w:color w:val="54565A"/>
          <w:sz w:val="24"/>
          <w:szCs w:val="24"/>
        </w:rPr>
        <w:t xml:space="preserve">Migliorare disponibilità ricambi e rotazione del magazzino a supporto del piano strategico LIFT 2025-2030</w:t>
      </w:r>
    </w:p>
    <w:p>
      <w:pPr>
        <w:spacing w:after="120"/>
      </w:pPr>
      <w:r>
        <w:rPr>
          <w:b/>
          <w:bCs/>
        </w:rPr>
        <w:t xml:space="preserve">Azienda target: </w:t>
      </w:r>
      <w:r>
        <w:t xml:space="preserve">Manitou Italia / Manitou Group</w:t>
      </w:r>
    </w:p>
    <w:p>
      <w:pPr>
        <w:spacing w:after="120"/>
      </w:pPr>
      <w:r>
        <w:rPr>
          <w:b/>
          <w:bCs/>
        </w:rPr>
        <w:t xml:space="preserve">Candidatura: </w:t>
      </w:r>
      <w:r>
        <w:t xml:space="preserve">Analista Dati (profilo junior)</w:t>
      </w:r>
    </w:p>
    <w:p>
      <w:pPr>
        <w:spacing w:after="120"/>
      </w:pPr>
      <w:r>
        <w:rPr>
          <w:b/>
          <w:bCs/>
        </w:rPr>
        <w:t xml:space="preserve">Autore: </w:t>
      </w:r>
      <w:r>
        <w:t xml:space="preserve">Matteo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Dataset Power BI (modello a stella) + misure DAX + questo documento di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 xml:space="preserve">Nota su origine dei dati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Tutti i dati finanziari e strategici di Manitou citati sono REALI e tratti da fonti pubbliche (vedi §8).</w:t>
            </w:r>
          </w:p>
          <w:p>
            <w:r>
              <w:rPr>
                <w:sz w:val="18"/>
                <w:szCs w:val="18"/>
              </w:rPr>
              <w:t xml:space="preserve">Il dataset transazionale ricambi/magazzino è SIMULATO ed etichettato come tale: i dati operativi interni non sono pubblici. È modellato sulla struttura reale dell'azienda (segmenti geografici, gamme prodotto, brand) e calibrato sugli ordini di grandezza pubblici, per dimostrare il metodo analitico in modo realistico.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Il contesto: perché i ricambi contano per Manitou</w:t>
      </w:r>
    </w:p>
    <w:p>
      <w:pPr>
        <w:spacing w:after="120"/>
      </w:pPr>
      <w:r>
        <w:t xml:space="preserve">Manitou Group è leader mondiale nella movimentazione (telescopici, carrelli, piattaforme aeree), con ricavi 2025 di </w:t>
      </w:r>
      <w:r>
        <w:rPr>
          <w:b/>
          <w:bCs/>
        </w:rPr>
        <w:t xml:space="preserve">2.564 M€</w:t>
      </w:r>
      <w:r>
        <w:t xml:space="preserve"> e circa 6.000 dipendenti in 140 Paesi. Nel 2025 il fatturato di Gruppo è calato del </w:t>
      </w:r>
      <w:r>
        <w:rPr>
          <w:b/>
          <w:bCs/>
        </w:rPr>
        <w:t xml:space="preserve">-3,4%</w:t>
      </w:r>
      <w:r>
        <w:t xml:space="preserve">, trainato al ribasso dalla divisione Prodotti (</w:t>
      </w:r>
      <w:r>
        <w:rPr>
          <w:b/>
          <w:bCs/>
        </w:rPr>
        <w:t xml:space="preserve">-4,6%</w:t>
      </w:r>
      <w:r>
        <w:t xml:space="preserve">). In controtendenza, la divisione </w:t>
      </w:r>
      <w:r>
        <w:rPr>
          <w:b/>
          <w:bCs/>
        </w:rPr>
        <w:t xml:space="preserve">Services &amp; Solutions</w:t>
      </w:r>
      <w:r>
        <w:t xml:space="preserve"> (ricambi, after-sales, contratti) è cresciuta del </w:t>
      </w:r>
      <w:r>
        <w:rPr>
          <w:b/>
          <w:bCs/>
        </w:rPr>
        <w:t xml:space="preserve">+2,8% a 420 M€</w:t>
      </w:r>
      <w:r>
        <w:t xml:space="preserve">, confermandosi la componente più resiliente e a margine più stabile.</w:t>
      </w:r>
    </w:p>
    <w:p>
      <w:pPr>
        <w:spacing w:after="120"/>
      </w:pPr>
      <w:r>
        <w:t xml:space="preserve">Nell'aprile 2025 Manitou ha lanciato il piano strategico </w:t>
      </w:r>
      <w:r>
        <w:rPr>
          <w:b/>
          <w:bCs/>
        </w:rPr>
        <w:t xml:space="preserve">«LIFT» (2025-2030)</w:t>
      </w:r>
      <w:r>
        <w:t xml:space="preserve">, che pone i servizi al centro: l'obiettivo dichiarato è </w:t>
      </w:r>
      <w:r>
        <w:rPr>
          <w:b/>
          <w:bCs/>
        </w:rPr>
        <w:t xml:space="preserve">moltiplicare per 5,5x entro il 2030</w:t>
      </w:r>
      <w:r>
        <w:t xml:space="preserve"> i ricavi da prodotti sostenibili e servizi associati. La crescita dei ricambi passa però da un prerequisito operativo: </w:t>
      </w:r>
      <w:r>
        <w:rPr>
          <w:b/>
          <w:bCs/>
        </w:rPr>
        <w:t xml:space="preserve">la disponibilità del pezzo giusto, al momento giusto, nel posto giusto</w:t>
      </w:r>
      <w:r>
        <w:t xml:space="preserve">. Un ricambio non disponibile significa macchina ferma dal cliente (Vehicle Off Road), insoddisfazione e ricavo che scivola verso ricambi non originali.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Ricavi reali" descr="Ricavi reali" title="Ricavi re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4565A"/>
          <w:sz w:val="18"/>
          <w:szCs w:val="18"/>
        </w:rPr>
        <w:t xml:space="preserve">Fig. 1 — Dati REALI. I servizi crescono mentre il Gruppo cala: è il motore del piano LIFT. Fonte: Manitou 2025 annual results.</w:t>
      </w:r>
    </w:p>
    <w:p>
      <w:pPr>
        <w:pStyle w:val="Heading2"/>
      </w:pPr>
      <w:r>
        <w:t xml:space="preserve">Il problema affrontato (scope da junior)</w:t>
      </w:r>
    </w:p>
    <w:p>
      <w:pPr>
        <w:spacing w:after="120"/>
      </w:pPr>
      <w:r>
        <w:t xml:space="preserve">Non si affronta il problema più grande del Gruppo, ma un caso operativo circoscritto e immediatamente utile per l'after-sales:</w:t>
      </w:r>
    </w:p>
    <w:p>
      <w:pPr>
        <w:shd w:fill="F2F2F0" w:val="clear"/>
        <w:spacing w:after="120"/>
      </w:pPr>
      <w:r>
        <w:rPr>
          <w:b/>
          <w:bCs/>
        </w:rPr>
        <w:t xml:space="preserve">«Dove stiamo perdendo disponibilità ricambi, quanto ci costa, e quali SKU/categorie intervenire per primi?»</w:t>
      </w:r>
    </w:p>
    <w:p>
      <w:pPr>
        <w:spacing w:after="120"/>
      </w:pPr>
      <w:r>
        <w:t xml:space="preserve">L'obiettivo è un report Power BI che misuri il livello di servizio (fill rate, OTIF), quantifichi il </w:t>
      </w:r>
      <w:r>
        <w:rPr>
          <w:b/>
          <w:bCs/>
        </w:rPr>
        <w:t xml:space="preserve">ricavo a rischio</w:t>
      </w:r>
      <w:r>
        <w:t xml:space="preserve"> da stockout e indichi azioni concrete di breve termine su scorte e priorità di riordino.</w:t>
      </w:r>
    </w:p>
    <w:p>
      <w:pPr>
        <w:pStyle w:val="Heading1"/>
      </w:pPr>
      <w:r>
        <w:t xml:space="preserve">2. Obiettivi e 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misura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di riferimento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Fill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righe d'ordine evase subito da stock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Ordini evasi completi ed entro SLA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 Rate VOR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Disponibilità sugli ordini urgenti (macchina ferma)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98%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 at 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Ricavo ricambi associato a righe non evase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Minimizzare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Indice Rotazione Stock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COGS / giacenza media (inventory turns)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Aumentare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Capitale Immobilizzato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Valore dead stock / valore giacenza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Ridurre</w:t>
            </w:r>
          </w:p>
        </w:tc>
      </w:tr>
    </w:tbl>
    <w:p>
      <w:pPr>
        <w:spacing w:before="120"/>
      </w:pPr>
      <w:r>
        <w:t xml:space="preserve">I KPI sono pensati per essere </w:t>
      </w:r>
      <w:r>
        <w:rPr>
          <w:b/>
          <w:bCs/>
        </w:rPr>
        <w:t xml:space="preserve">azionabili</w:t>
      </w:r>
      <w:r>
        <w:t xml:space="preserve">: ogni numero rosso sul cruscotto si traduce in una decisione (rivedere scorta di sicurezza, anticipare riordino, sbloccare capitale su parti morte).</w:t>
      </w:r>
    </w:p>
    <w:p>
      <w:pPr>
        <w:pStyle w:val="Heading1"/>
      </w:pPr>
      <w:r>
        <w:t xml:space="preserve">3. Il modello dati (star schema per Power BI)</w:t>
      </w:r>
    </w:p>
    <w:p>
      <w:pPr>
        <w:spacing w:after="120"/>
      </w:pPr>
      <w:r>
        <w:t xml:space="preserve">I dati sono organizzati in un classico </w:t>
      </w:r>
      <w:r>
        <w:rPr>
          <w:b/>
          <w:bCs/>
        </w:rPr>
        <w:t xml:space="preserve">modello a stella</w:t>
      </w:r>
      <w:r>
        <w:t xml:space="preserve">: tre tabelle dei fatti circondate da dimensioni condivise. È la struttura che Power BI gestisce in modo più performante e che rende le misure DAX semplici e riusabili.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Calendario giornaliero 2024-2025 (anno, mese, trimestre, settimana)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segmenti geografici REALI Manitou + peso ricavi 2025 + hub logistico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dim_product_family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gamme prodotto REALI (MT, MLT, MRT, MI/MC, TMM, AWP, Gehl, Mustang)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dim_part_category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categorie ricambio (filtri, idraulica, motore…)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dim_part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877 SKU con classe ABC, mover class, criticità VOR, lead time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dim_dealer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Dim.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138 concessionari per regione e tier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fact_parts_orders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~51.700 righe d'ordine ricambi (qtà, ricavo, stockout, OTIF)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fact_inventory_snapshot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~21.000 snapshot mensili di giacenza (safety stock, ROP, dead stock)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fact_financials_real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record di dati finanziari REALI (per il contesto strategico)</w:t>
            </w:r>
          </w:p>
        </w:tc>
      </w:tr>
    </w:tbl>
    <w:p>
      <w:pPr>
        <w:pStyle w:val="Heading2"/>
      </w:pPr>
      <w:r>
        <w:t xml:space="preserve">Relazioni da creare in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dim_date[Date]</w:t>
      </w:r>
      <w:r>
        <w:t xml:space="preserve"> → fact_parts_orders[Date]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dim_part[SKU]</w:t>
      </w:r>
      <w:r>
        <w:t xml:space="preserve"> → fact_parts_orders[SKU] e → fact_inventory_snapshot[SKU]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dim_dealer[DealerID]</w:t>
      </w:r>
      <w:r>
        <w:t xml:space="preserve"> → fact_parts_orders[DealerID]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dim_region[RegionID]</w:t>
      </w:r>
      <w:r>
        <w:t xml:space="preserve"> → fact_parts_orders[RegionID]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dim_product_family[FamilyID]</w:t>
      </w:r>
      <w:r>
        <w:t xml:space="preserve"> → dim_part[FamilyID]; </w:t>
      </w:r>
      <w:r>
        <w:rPr>
          <w:b/>
          <w:bCs/>
        </w:rPr>
        <w:t xml:space="preserve">dim_part_category[CategoryID]</w:t>
      </w:r>
      <w:r>
        <w:t xml:space="preserve"> → dim_part[CategoryID]</w:t>
      </w:r>
    </w:p>
    <w:p>
      <w:pPr>
        <w:spacing w:after="120"/>
      </w:pPr>
      <w:r>
        <w:t xml:space="preserve">Marcare </w:t>
      </w:r>
      <w:r>
        <w:rPr>
          <w:b/>
          <w:bCs/>
        </w:rPr>
        <w:t xml:space="preserve">dim_date</w:t>
      </w:r>
      <w:r>
        <w:t xml:space="preserve"> come «tabella delle date» per abilitare la time intelligence (confronti YoY, YTD, MAT).</w:t>
      </w:r>
    </w:p>
    <w:p>
      <w:r>
        <w:br w:type="page"/>
      </w:r>
    </w:p>
    <w:p>
      <w:pPr>
        <w:pStyle w:val="Heading1"/>
      </w:pPr>
      <w:r>
        <w:t xml:space="preserve">4. Analisi e risultati (dati simulati)</w:t>
      </w:r>
    </w:p>
    <w:p>
      <w:pPr>
        <w:spacing w:after="120"/>
      </w:pPr>
      <w:r>
        <w:t xml:space="preserve">I valori seguenti derivano dal dataset simulato e servono a illustrare il tipo di evidenze che il report produce sui dati reali aziendali.</w:t>
      </w:r>
    </w:p>
    <w:p>
      <w:pPr>
        <w:pStyle w:val="Heading2"/>
      </w:pPr>
      <w:r>
        <w:t xml:space="preserve">4.1 Concentrazione: legge di Pareto / ABC</w:t>
      </w:r>
    </w:p>
    <w:p>
      <w:pPr>
        <w:spacing w:after="120"/>
      </w:pPr>
      <w:r>
        <w:t xml:space="preserve">Circa il </w:t>
      </w:r>
      <w:r>
        <w:rPr>
          <w:b/>
          <w:bCs/>
        </w:rPr>
        <w:t xml:space="preserve">20% degli SKU (classe A) genera ~80% del ricavo ricambi</w:t>
      </w:r>
      <w:r>
        <w:t xml:space="preserve">. È su questi pochi codici fast-mover che la disponibilità va protetta in via prioritaria; sulla coda lunga (classe C) conviene invece ottimizzare il capitale.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Pareto" descr="Pareto" title="Pa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4565A"/>
          <w:sz w:val="18"/>
          <w:szCs w:val="18"/>
        </w:rPr>
        <w:t xml:space="preserve">Fig. 2 — Dati simulati. La curva di Pareto guida le politiche di scorta differenziate per classe ABC.</w:t>
      </w:r>
    </w:p>
    <w:p>
      <w:pPr>
        <w:pStyle w:val="Heading2"/>
      </w:pPr>
      <w:r>
        <w:t xml:space="preserve">4.2 Dove si perde disponibilità</w:t>
      </w:r>
    </w:p>
    <w:p>
      <w:pPr>
        <w:spacing w:after="120"/>
      </w:pPr>
      <w:r>
        <w:t xml:space="preserve">Nel periodo simulato il </w:t>
      </w:r>
      <w:r>
        <w:rPr>
          <w:b/>
          <w:bCs/>
        </w:rPr>
        <w:t xml:space="preserve">Line Fill Rate medio è ~87%</w:t>
      </w:r>
      <w:r>
        <w:t xml:space="preserve"> e l'</w:t>
      </w:r>
      <w:r>
        <w:rPr>
          <w:b/>
          <w:bCs/>
        </w:rPr>
        <w:t xml:space="preserve">OTIF ~83%</w:t>
      </w:r>
      <w:r>
        <w:t xml:space="preserve">, entrambi sotto il target del 95%. Il problema si concentra in alcune categorie tecniche (idraulica, motore, trasmissione, freni) ad alta criticità e lead time fornitore lungo.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Fill rate" descr="Fill rate" title="Fill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4565A"/>
          <w:sz w:val="18"/>
          <w:szCs w:val="18"/>
        </w:rPr>
        <w:t xml:space="preserve">Fig. 3 — Dati simulati. Fill rate per categoria: le barre rosse sono sotto soglia e indicano le priorità di intervento.</w:t>
      </w:r>
    </w:p>
    <w:p>
      <w:pPr>
        <w:pStyle w:val="Heading2"/>
      </w:pPr>
      <w:r>
        <w:t xml:space="preserve">4.3 Quanto costa: Revenue at Risk</w:t>
      </w:r>
    </w:p>
    <w:p>
      <w:pPr>
        <w:spacing w:after="120"/>
      </w:pPr>
      <w:r>
        <w:t xml:space="preserve">Le righe non evase da stock valgono circa </w:t>
      </w:r>
      <w:r>
        <w:rPr>
          <w:b/>
          <w:bCs/>
        </w:rPr>
        <w:t xml:space="preserve">3,07 M€ di ricavo a rischio su 24 mesi</w:t>
      </w:r>
      <w:r>
        <w:t xml:space="preserve">. Mappato per gamma prodotto, mostra dove un miglioramento del fill rate ha il maggior ritorno economico. Riportare il fill rate al 95% recupererebbe una quota significativa di questo valore (misura DAX «Opportunità»).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Revenue at risk" descr="Revenue at risk" title="Revenue at 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4565A"/>
          <w:sz w:val="18"/>
          <w:szCs w:val="18"/>
        </w:rPr>
        <w:t xml:space="preserve">Fig. 4 — Dati simulati. Ricavo a rischio da stockout per gamma: priorità in chiave economica, non solo tecnica.</w:t>
      </w:r>
    </w:p>
    <w:p>
      <w:pPr>
        <w:pStyle w:val="Heading2"/>
      </w:pPr>
      <w:r>
        <w:t xml:space="preserve">4.4 Capitale immobilizzato (dead stock)</w:t>
      </w:r>
    </w:p>
    <w:p>
      <w:pPr>
        <w:spacing w:after="120"/>
      </w:pPr>
      <w:r>
        <w:t xml:space="preserve">In parallelo, lo snapshot di magazzino isola i codici </w:t>
      </w:r>
      <w:r>
        <w:rPr>
          <w:b/>
          <w:bCs/>
        </w:rPr>
        <w:t xml:space="preserve">dead stock</w:t>
      </w:r>
      <w:r>
        <w:t xml:space="preserve"> (giacenza presente ma domanda quasi nulla): capitale fermo che può essere sbloccato e reinvestito sui fast-mover. È la leva che concilia </w:t>
      </w:r>
      <w:r>
        <w:rPr>
          <w:b/>
          <w:bCs/>
        </w:rPr>
        <w:t xml:space="preserve">più disponibilità</w:t>
      </w:r>
      <w:r>
        <w:t xml:space="preserve"> e </w:t>
      </w:r>
      <w:r>
        <w:rPr>
          <w:b/>
          <w:bCs/>
        </w:rPr>
        <w:t xml:space="preserve">meno immobilizzo</w:t>
      </w:r>
      <w:r>
        <w:t xml:space="preserve">, senza aumentare il magazzino complessivo.</w:t>
      </w:r>
    </w:p>
    <w:p>
      <w:pPr>
        <w:pStyle w:val="Heading1"/>
      </w:pPr>
      <w:r>
        <w:t xml:space="preserve">5. Raccomandazioni operative (breve termine)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Scorte differenziate per classe ABC + criticità: </w:t>
      </w:r>
      <w:r>
        <w:t xml:space="preserve">alzare la safety stock sui codici A e VOR a lead time lungo; ridurla su C a bassa rotazione.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Lista di riordino prioritaria: </w:t>
      </w:r>
      <w:r>
        <w:t xml:space="preserve">ordinare gli SKU sotto reorder point per ricavo a rischio decrescente, non per ordine alfabetico/casuale.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Sblocco dead stock: </w:t>
      </w:r>
      <w:r>
        <w:t xml:space="preserve">campagna di smaltimento/redistribuzione sui codici fermi per liberare capitale da reinvestire sui fast-mover.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Monitoraggio VOR: </w:t>
      </w:r>
      <w:r>
        <w:t xml:space="preserve">alert sul cruscotto quando il fill rate urgenti scende sotto il 98%, perché è il KPI più legato alla soddisfazione cliente.</w:t>
      </w:r>
    </w:p>
    <w:p>
      <w:pPr>
        <w:spacing w:before="120"/>
      </w:pPr>
      <w:r>
        <w:t xml:space="preserve">Tutte fattibili senza nuovi sistemi: bastano i dati già presenti nell'ERP/after-sales e questo report come strumento di governo settimanale.</w:t>
      </w:r>
    </w:p>
    <w:p>
      <w:pPr>
        <w:pStyle w:val="Heading1"/>
      </w:pPr>
      <w:r>
        <w:t xml:space="preserve">6. Misure DAX (estratto)</w:t>
      </w:r>
    </w:p>
    <w:p>
      <w:pPr>
        <w:spacing w:after="120"/>
      </w:pPr>
      <w:r>
        <w:t xml:space="preserve">Il file </w:t>
      </w:r>
      <w:r>
        <w:rPr>
          <w:b/>
          <w:bCs/>
        </w:rPr>
        <w:t xml:space="preserve">misure_DAX.txt</w:t>
      </w:r>
      <w:r>
        <w:t xml:space="preserve"> contiene ~40 misure pronte all'uso, raggruppate per area (ricavo/margine, livello di servizio, VOR, revenue at risk, time intelligence, inventario, ABC). Esempi chiave: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Misura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 (sintesi)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Fill Rate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 [Righe Ordine] - [Linee in Stockout]; [Righe Ordine] 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OTIF %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 [Linee OTIF]; [Righe Ordine] 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Revenue at Risk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CALCULATE( SUM(RicavoRiga); FlagStockout = 1 )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Indice Rotazione Stock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 [COGS Annuo]; [Valore Giacenza Medio] 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 % YoY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DIVIDE( [Ricavo] - [Ricavo PY]; [Ricavo PY] ) con SAMEPERIODLASTYEAR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Opportunità (→95%)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MAX(0; 0,95 - [Fill Rate]) * ([Ricavo] + [Revenue at Risk])</w:t>
            </w:r>
          </w:p>
        </w:tc>
      </w:tr>
    </w:tbl>
    <w:p>
      <w:pPr>
        <w:pStyle w:val="Heading1"/>
      </w:pPr>
      <w:r>
        <w:t xml:space="preserve">7. Come costruire il report in Power BI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 i CSV: </w:t>
      </w:r>
      <w:r>
        <w:t xml:space="preserve">Home → Recupera dati → Testo/CSV. I file usano separatore «;» e codifica UTF-8. Importa tutte le tabelle della cartella powerbi_data.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 le relazioni </w:t>
      </w:r>
      <w:r>
        <w:t xml:space="preserve">della §3 nella vista Modello (cardinalità 1-a-molti).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Marca dim_date </w:t>
      </w:r>
      <w:r>
        <w:t xml:space="preserve">come tabella delle date (colonna Date).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Incolla le misure DAX </w:t>
      </w:r>
      <w:r>
        <w:t xml:space="preserve">dal file fornito (nuova misura → copia/incolla una alla volta).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Costruisci 3 pagine: </w:t>
      </w:r>
      <w:r>
        <w:t xml:space="preserve">(1) Executive overview con card KPI e trend; (2) Disponibilità per categoria/regione/dealer; (3) Inventario &amp; dead stock con tabella SKU prioritari.</w:t>
      </w:r>
    </w:p>
    <w:p>
      <w:pPr>
        <w:pStyle w:val="Heading1"/>
      </w:pPr>
      <w:r>
        <w:t xml:space="preserve">8. Fonti dei dati reali</w:t>
      </w:r>
    </w:p>
    <w:p>
      <w:pPr>
        <w:spacing w:after="120"/>
      </w:pPr>
      <w:r>
        <w:t xml:space="preserve">Tutti i dati finanziari, strategici e strutturali su Manitou citati nel progetto provengono 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2025 annual results: </w:t>
      </w:r>
      <w:hyperlink w:history="1" r:id="rIdkd2p8due6rywlldwjiih6">
        <w:r>
          <w:rPr>
            <w:rStyle w:val="Hyperlink"/>
            <w:sz w:val="18"/>
            <w:szCs w:val="18"/>
          </w:rPr>
          <w:t xml:space="preserve">manitou-group.com/en/new/2025-annual-results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Press release 2025 results (PDF): </w:t>
      </w:r>
      <w:hyperlink w:history="1" r:id="rIdpuhjrxtegk9nuxmsxdl34">
        <w:r>
          <w:rPr>
            <w:rStyle w:val="Hyperlink"/>
            <w:sz w:val="18"/>
            <w:szCs w:val="18"/>
          </w:rPr>
          <w:t xml:space="preserve">comunicato 2025 (PDF)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2024 annual results: </w:t>
      </w:r>
      <w:hyperlink w:history="1" r:id="rIdrohu2d8y1jnxlxtkk0wwd">
        <w:r>
          <w:rPr>
            <w:rStyle w:val="Hyperlink"/>
            <w:sz w:val="18"/>
            <w:szCs w:val="18"/>
          </w:rPr>
          <w:t xml:space="preserve">manitou-group.com/en/new/2024-annual-results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Strategia / piano LIFT: </w:t>
      </w:r>
      <w:hyperlink w:history="1" r:id="rId7xqgu4qs_g3-chhnkzy5z">
        <w:r>
          <w:rPr>
            <w:rStyle w:val="Hyperlink"/>
            <w:sz w:val="18"/>
            <w:szCs w:val="18"/>
          </w:rPr>
          <w:t xml:space="preserve">manitou-group.com/en/group/strategy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Brands (Manitou, Gehl, Mustang): </w:t>
      </w:r>
      <w:hyperlink w:history="1" r:id="rIdlen7eldcnncigxgioee2d">
        <w:r>
          <w:rPr>
            <w:rStyle w:val="Hyperlink"/>
            <w:sz w:val="18"/>
            <w:szCs w:val="18"/>
          </w:rPr>
          <w:t xml:space="preserve">manitou-group.com/en/group/brands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Manitou Group — 2025 Half-Year report (servizi +3,6%, ricambi): </w:t>
      </w:r>
      <w:hyperlink w:history="1" r:id="rId0jtmgizkcg9s8heqme_ud">
        <w:r>
          <w:rPr>
            <w:rStyle w:val="Hyperlink"/>
            <w:sz w:val="18"/>
            <w:szCs w:val="18"/>
          </w:rPr>
          <w:t xml:space="preserve">HY 2025 report (PDF)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Rental Equipment Register — Q4 2025 revenues per regione: </w:t>
      </w:r>
      <w:hyperlink w:history="1" r:id="rIdqgqzonvitf0jboojqym--">
        <w:r>
          <w:rPr>
            <w:rStyle w:val="Hyperlink"/>
            <w:sz w:val="18"/>
            <w:szCs w:val="18"/>
          </w:rPr>
          <w:t xml:space="preserve">rermag.com</w:t>
        </w:r>
      </w:hyperlink>
    </w:p>
    <w:p>
      <w:pPr>
        <w:spacing w:before="120"/>
      </w:pPr>
      <w:r>
        <w:rPr>
          <w:i/>
          <w:iCs/>
          <w:color w:val="54565A"/>
          <w:sz w:val="18"/>
          <w:szCs w:val="18"/>
        </w:rPr>
        <w:t xml:space="preserve">I dati transazionali ricambi e magazzino sono simulati a scopo dimostrativo e non rappresentano cifre reali di Manitou.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565A"/>
        <w:sz w:val="15"/>
        <w:szCs w:val="15"/>
      </w:rPr>
      <w:t xml:space="preserve">Pag. </w:t>
    </w:r>
    <w:r>
      <w:rPr>
        <w:color w:val="5456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4565A"/>
        <w:sz w:val="15"/>
        <w:szCs w:val="15"/>
      </w:rPr>
      <w:t xml:space="preserve">Spare Parts Availability Analytics — Progetto per Manitou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pPr>
      <w:spacing w:after="8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C8102E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C81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d2p8due6rywlldwjiih6" Type="http://schemas.openxmlformats.org/officeDocument/2006/relationships/hyperlink" Target="https://www.manitou-group.com/en/new/2025-annual-results/" TargetMode="External"/><Relationship Id="rIdpuhjrxtegk9nuxmsxdl34" Type="http://schemas.openxmlformats.org/officeDocument/2006/relationships/hyperlink" Target="https://www.manitou-group.com/wp-content/uploads/2026/03/20260311_PR_2025_RESULTS_with-financial-extract_EN.pdf" TargetMode="External"/><Relationship Id="rIdrohu2d8y1jnxlxtkk0wwd" Type="http://schemas.openxmlformats.org/officeDocument/2006/relationships/hyperlink" Target="https://www.manitou-group.com/en/new/2024-annual-results/" TargetMode="External"/><Relationship Id="rId7xqgu4qs_g3-chhnkzy5z" Type="http://schemas.openxmlformats.org/officeDocument/2006/relationships/hyperlink" Target="https://www.manitou-group.com/en/group/strategy/" TargetMode="External"/><Relationship Id="rIdlen7eldcnncigxgioee2d" Type="http://schemas.openxmlformats.org/officeDocument/2006/relationships/hyperlink" Target="https://www.manitou-group.com/en/group/brands/" TargetMode="External"/><Relationship Id="rId0jtmgizkcg9s8heqme_ud" Type="http://schemas.openxmlformats.org/officeDocument/2006/relationships/hyperlink" Target="https://www.manitou-group.com/wp-content/uploads/2025/11/20250730_ManitouGroup_HY-report_2025_EN.pdf" TargetMode="External"/><Relationship Id="rIdqgqzonvitf0jboojqym--" Type="http://schemas.openxmlformats.org/officeDocument/2006/relationships/hyperlink" Target="https://www.rermag.com/news-analysis/headline-news/article/55355533/manitou-increases-worldwide-revenue-99-percent-in-fourth-quarter-of-2025" TargetMode="External"/><Relationship Id="rId9" Type="http://schemas.openxmlformats.org/officeDocument/2006/relationships/image" Target="media/446f9fc300b75c332125a5f6702eb83063eaa1ee.png"/><Relationship Id="rId10" Type="http://schemas.openxmlformats.org/officeDocument/2006/relationships/image" Target="media/7a93b805eade75c11f4756c815b74b7a5691b0e8.png"/><Relationship Id="rId11" Type="http://schemas.openxmlformats.org/officeDocument/2006/relationships/image" Target="media/e332ecf12fd1fd316dfc8f7de8df1aa4cbae75bc.png"/><Relationship Id="rId12" Type="http://schemas.openxmlformats.org/officeDocument/2006/relationships/image" Target="media/b429519e41c4e1f39f5cc1561f48f93a7c1604c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2026-06-26T16:45:00.950Z</dcterms:created>
  <dcterms:modified xsi:type="dcterms:W3CDTF">2026-06-26T16:45:00.950Z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