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C0" w:rsidRPr="00D1690A" w:rsidRDefault="00E104C0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I</w:t>
      </w:r>
    </w:p>
    <w:p w:rsidR="00E104C0" w:rsidRPr="00D1690A" w:rsidRDefault="00E104C0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As attached in separate document</w:t>
      </w:r>
    </w:p>
    <w:p w:rsidR="00553021" w:rsidRPr="00D1690A" w:rsidRDefault="00553021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II</w:t>
      </w:r>
    </w:p>
    <w:p w:rsidR="00553021" w:rsidRPr="00D1690A" w:rsidRDefault="00553021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Will be covered in Future Enhancement</w:t>
      </w:r>
    </w:p>
    <w:p w:rsidR="00C437CD" w:rsidRPr="00D1690A" w:rsidRDefault="00111EFC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III</w:t>
      </w:r>
    </w:p>
    <w:p w:rsidR="00111EFC" w:rsidRPr="00D1690A" w:rsidRDefault="00111EFC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Reasons for Pausing and estimated time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hanging="229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Breakfast – 15 minutes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hanging="229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Lunch – 45 minutes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hanging="229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Attending </w:t>
      </w:r>
      <w:r w:rsidR="00553021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</w:t>
      </w: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eeting – User defined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left="1134" w:hanging="283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Short Call – 10 minutes 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hanging="229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Emergency – User defined</w:t>
      </w:r>
    </w:p>
    <w:p w:rsidR="00111EFC" w:rsidRPr="00D1690A" w:rsidRDefault="00111EFC" w:rsidP="00B3746E">
      <w:pPr>
        <w:numPr>
          <w:ilvl w:val="0"/>
          <w:numId w:val="2"/>
        </w:numPr>
        <w:spacing w:before="240" w:after="0" w:line="240" w:lineRule="auto"/>
        <w:ind w:left="1134" w:hanging="283"/>
        <w:contextualSpacing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Follow-up of customer </w:t>
      </w:r>
      <w:r w:rsidR="004E1FE8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inquiries</w:t>
      </w: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– 15 minutes</w:t>
      </w:r>
    </w:p>
    <w:p w:rsidR="00553021" w:rsidRPr="00D1690A" w:rsidRDefault="00553021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IV</w:t>
      </w:r>
    </w:p>
    <w:p w:rsidR="00553021" w:rsidRPr="00D1690A" w:rsidRDefault="00165ABA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Service Level Agreement</w:t>
      </w:r>
    </w:p>
    <w:p w:rsidR="00165ABA" w:rsidRPr="00D1690A" w:rsidRDefault="00CA1407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Inquiries – </w:t>
      </w:r>
      <w:r w:rsidR="00260218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days</w:t>
      </w:r>
      <w:r w:rsidR="00260218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(as per client service charter)</w:t>
      </w:r>
    </w:p>
    <w:p w:rsidR="003B23C4" w:rsidRPr="00D1690A" w:rsidRDefault="003B23C4" w:rsidP="00B3746E">
      <w:p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For </w:t>
      </w:r>
      <w:r w:rsidR="002E67F2"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Complaint</w:t>
      </w:r>
      <w:r w:rsidR="00CE05D7"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</w:t>
      </w:r>
    </w:p>
    <w:p w:rsidR="003B23C4" w:rsidRPr="00D1690A" w:rsidRDefault="003B23C4" w:rsidP="00B3746E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Minor </w:t>
      </w:r>
      <w:r w:rsidR="002E67F2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Complaint</w:t>
      </w:r>
    </w:p>
    <w:p w:rsidR="003B23C4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Hlk192520057"/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Coordinator –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2 working days</w:t>
      </w:r>
    </w:p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Director –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1 working day</w:t>
      </w:r>
    </w:p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Manager –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1 working day</w:t>
      </w:r>
    </w:p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Head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of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Unit –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1 working day</w:t>
      </w:r>
    </w:p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Attendee –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A039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working 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days</w:t>
      </w:r>
    </w:p>
    <w:bookmarkEnd w:id="0"/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3B23C4" w:rsidRPr="00D1690A" w:rsidRDefault="003B23C4" w:rsidP="00B3746E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Major </w:t>
      </w:r>
      <w:r w:rsidR="002E67F2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Complaint</w:t>
      </w:r>
    </w:p>
    <w:p w:rsidR="005A039A" w:rsidRPr="00D1690A" w:rsidRDefault="005A039A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Coordinator – 2 working days</w:t>
      </w:r>
    </w:p>
    <w:p w:rsidR="005A039A" w:rsidRPr="00D1690A" w:rsidRDefault="005A039A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Director – 1 working day</w:t>
      </w:r>
    </w:p>
    <w:p w:rsidR="005A039A" w:rsidRPr="00D1690A" w:rsidRDefault="005A039A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Manager – 1 working day</w:t>
      </w:r>
    </w:p>
    <w:p w:rsidR="005A039A" w:rsidRPr="00D1690A" w:rsidRDefault="005A039A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Head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of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Unit – 1 working day</w:t>
      </w:r>
    </w:p>
    <w:p w:rsidR="005A039A" w:rsidRPr="00D1690A" w:rsidRDefault="005A039A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Attendee – 10 working days</w:t>
      </w:r>
    </w:p>
    <w:p w:rsidR="00CE05D7" w:rsidRPr="00D1690A" w:rsidRDefault="00CE05D7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E67F2" w:rsidRPr="00D1690A" w:rsidRDefault="002E67F2" w:rsidP="00B3746E">
      <w:pPr>
        <w:pStyle w:val="BodyText"/>
        <w:spacing w:before="240" w:after="0" w:line="240" w:lineRule="auto"/>
        <w:jc w:val="both"/>
        <w:rPr>
          <w:color w:val="000000" w:themeColor="text1"/>
        </w:rPr>
      </w:pPr>
      <w:r w:rsidRPr="00D1690A">
        <w:rPr>
          <w:rStyle w:val="StrongEmphasis"/>
          <w:rFonts w:ascii="Arial" w:hAnsi="Arial"/>
          <w:bCs/>
          <w:color w:val="000000" w:themeColor="text1"/>
          <w:highlight w:val="white"/>
        </w:rPr>
        <w:t xml:space="preserve">Assessing and Resolving </w:t>
      </w:r>
      <w:r w:rsidR="00B3746E" w:rsidRPr="00D1690A">
        <w:rPr>
          <w:rStyle w:val="StrongEmphasis"/>
          <w:rFonts w:ascii="Arial" w:hAnsi="Arial"/>
          <w:bCs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br/>
        <w:t xml:space="preserve">The coordinator shall assess the received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and forward it to respective Directorate/Unit within one (1) working day.</w:t>
      </w:r>
      <w:r w:rsidRPr="00D1690A">
        <w:rPr>
          <w:rFonts w:ascii="Arial" w:hAnsi="Arial"/>
          <w:color w:val="000000" w:themeColor="text1"/>
          <w:highlight w:val="white"/>
        </w:rPr>
        <w:br/>
        <w:t xml:space="preserve">If the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is forwarded to the Directorate</w:t>
      </w:r>
    </w:p>
    <w:p w:rsidR="002E67F2" w:rsidRPr="00D1690A" w:rsidRDefault="002E67F2" w:rsidP="00B3746E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The Director will channel the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to the respective manager within one (1) working day. Upon receipt from the Director, the respective manager will assign to the responsible staff for resolution within one (1) working day. </w:t>
      </w:r>
    </w:p>
    <w:p w:rsidR="002E67F2" w:rsidRPr="00D1690A" w:rsidRDefault="002E67F2" w:rsidP="00B3746E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lastRenderedPageBreak/>
        <w:t xml:space="preserve">The assigned staff shall attend a minor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within three (3) working days and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within 10 working days and submit resolution to the respective manager. </w:t>
      </w:r>
    </w:p>
    <w:p w:rsidR="002E67F2" w:rsidRPr="00D1690A" w:rsidRDefault="002E67F2" w:rsidP="00B3746E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Upon receipt, respective manager shall review and submit resolution within one (1) working day to the respective Director for review. </w:t>
      </w:r>
    </w:p>
    <w:p w:rsidR="002E67F2" w:rsidRPr="00D1690A" w:rsidRDefault="002E67F2" w:rsidP="00B3746E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For minor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respective Director shall review and endorse the resolution within one (1) working day. In case of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respective Director shall review and submit resolution to the Director General for endorsement within one (1) working day. </w:t>
      </w:r>
    </w:p>
    <w:p w:rsidR="002E67F2" w:rsidRPr="00D1690A" w:rsidRDefault="002E67F2" w:rsidP="00B3746E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Upon receipt of resolution of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Director General shall review and endorse within one (1) working day. </w:t>
      </w:r>
    </w:p>
    <w:p w:rsidR="002E67F2" w:rsidRPr="00D1690A" w:rsidRDefault="002E67F2" w:rsidP="00B3746E">
      <w:pPr>
        <w:pStyle w:val="BodyText"/>
        <w:spacing w:before="240" w:after="0" w:line="240" w:lineRule="auto"/>
        <w:jc w:val="both"/>
        <w:rPr>
          <w:b/>
          <w:color w:val="000000" w:themeColor="text1"/>
        </w:rPr>
      </w:pPr>
      <w:r w:rsidRPr="00D1690A">
        <w:rPr>
          <w:rFonts w:ascii="Arial" w:hAnsi="Arial"/>
          <w:b/>
          <w:color w:val="000000" w:themeColor="text1"/>
          <w:highlight w:val="white"/>
        </w:rPr>
        <w:t xml:space="preserve">Else If the </w:t>
      </w:r>
      <w:r w:rsidR="00B3746E" w:rsidRPr="00D1690A">
        <w:rPr>
          <w:rFonts w:ascii="Arial" w:hAnsi="Arial"/>
          <w:b/>
          <w:color w:val="000000" w:themeColor="text1"/>
          <w:highlight w:val="white"/>
        </w:rPr>
        <w:t>complaint</w:t>
      </w:r>
      <w:r w:rsidRPr="00D1690A">
        <w:rPr>
          <w:rFonts w:ascii="Arial" w:hAnsi="Arial"/>
          <w:b/>
          <w:color w:val="000000" w:themeColor="text1"/>
          <w:highlight w:val="white"/>
        </w:rPr>
        <w:t xml:space="preserve"> is forwarded to the Unit</w:t>
      </w:r>
    </w:p>
    <w:p w:rsidR="002E67F2" w:rsidRPr="00D1690A" w:rsidRDefault="002E67F2" w:rsidP="00B3746E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The Head of Unit will channel the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to responsible staff for resolution within one (1) working day. </w:t>
      </w:r>
    </w:p>
    <w:p w:rsidR="002E67F2" w:rsidRPr="00D1690A" w:rsidRDefault="002E67F2" w:rsidP="00B3746E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The assigned staff shall attend a minor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within three (3) working days and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</w:t>
      </w:r>
      <w:r w:rsidRPr="00D1690A">
        <w:rPr>
          <w:rFonts w:ascii="Arial" w:hAnsi="Arial"/>
          <w:color w:val="000000" w:themeColor="text1"/>
          <w:highlight w:val="white"/>
        </w:rPr>
        <w:t xml:space="preserve"> within 10 working days and submit resolution to the respective Head of Unit. </w:t>
      </w:r>
    </w:p>
    <w:p w:rsidR="002E67F2" w:rsidRPr="00D1690A" w:rsidRDefault="002E67F2" w:rsidP="00B3746E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For minor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respective Head shall review and endorse the resolution within one (1) working day. In case of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respective Head shall review and submit resolution to the Director General for endorsement within one (1) working day. </w:t>
      </w:r>
    </w:p>
    <w:p w:rsidR="002E67F2" w:rsidRPr="00D1690A" w:rsidRDefault="002E67F2" w:rsidP="00B3746E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spacing w:before="240" w:after="0" w:line="240" w:lineRule="auto"/>
        <w:jc w:val="both"/>
        <w:rPr>
          <w:color w:val="000000" w:themeColor="text1"/>
        </w:rPr>
      </w:pPr>
      <w:r w:rsidRPr="00D1690A">
        <w:rPr>
          <w:rFonts w:ascii="Arial" w:hAnsi="Arial"/>
          <w:color w:val="000000" w:themeColor="text1"/>
          <w:highlight w:val="white"/>
        </w:rPr>
        <w:t xml:space="preserve">Upon receipt of resolution of major </w:t>
      </w:r>
      <w:r w:rsidR="00B3746E" w:rsidRPr="00D1690A">
        <w:rPr>
          <w:rFonts w:ascii="Arial" w:hAnsi="Arial"/>
          <w:color w:val="000000" w:themeColor="text1"/>
          <w:highlight w:val="white"/>
        </w:rPr>
        <w:t>complaints</w:t>
      </w:r>
      <w:r w:rsidRPr="00D1690A">
        <w:rPr>
          <w:rFonts w:ascii="Arial" w:hAnsi="Arial"/>
          <w:color w:val="000000" w:themeColor="text1"/>
          <w:highlight w:val="white"/>
        </w:rPr>
        <w:t xml:space="preserve">, the Director General shall review and endorse within one (1) working day. </w:t>
      </w:r>
    </w:p>
    <w:p w:rsidR="006C7026" w:rsidRPr="00D1690A" w:rsidRDefault="006C7026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Suggestion/Compliment – Not applicable</w:t>
      </w:r>
    </w:p>
    <w:p w:rsidR="00A64E7E" w:rsidRPr="00D1690A" w:rsidRDefault="00A64E7E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V</w:t>
      </w:r>
    </w:p>
    <w:p w:rsidR="00A64E7E" w:rsidRPr="00D1690A" w:rsidRDefault="00A64E7E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Email template to attendee</w:t>
      </w:r>
    </w:p>
    <w:p w:rsidR="00A64E7E" w:rsidRPr="00D1690A" w:rsidRDefault="00A64E7E" w:rsidP="00B3746E">
      <w:pPr>
        <w:pStyle w:val="head"/>
        <w:pBdr>
          <w:bottom w:val="single" w:sz="6" w:space="4" w:color="2D4A84"/>
        </w:pBdr>
        <w:spacing w:before="240" w:beforeAutospacing="0" w:after="0" w:afterAutospacing="0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D1690A">
        <w:rPr>
          <w:rFonts w:ascii="Arial" w:hAnsi="Arial" w:cs="Arial"/>
          <w:color w:val="000000" w:themeColor="text1"/>
          <w:sz w:val="27"/>
          <w:szCs w:val="27"/>
        </w:rPr>
        <w:t xml:space="preserve">Good Morning/ Good Afternoon/ Good Evening Grace B. </w:t>
      </w:r>
      <w:proofErr w:type="spellStart"/>
      <w:r w:rsidRPr="00D1690A">
        <w:rPr>
          <w:rFonts w:ascii="Arial" w:hAnsi="Arial" w:cs="Arial"/>
          <w:color w:val="000000" w:themeColor="text1"/>
          <w:sz w:val="27"/>
          <w:szCs w:val="27"/>
        </w:rPr>
        <w:t>Tarimo</w:t>
      </w:r>
      <w:proofErr w:type="spellEnd"/>
    </w:p>
    <w:p w:rsidR="00A64E7E" w:rsidRPr="00D1690A" w:rsidRDefault="00A64E7E" w:rsidP="00B3746E">
      <w:pPr>
        <w:pStyle w:val="body"/>
        <w:spacing w:before="240" w:beforeAutospacing="0" w:after="0" w:afterAutospacing="0"/>
        <w:ind w:left="75" w:right="75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D1690A">
        <w:rPr>
          <w:rFonts w:ascii="Arial" w:hAnsi="Arial" w:cs="Arial"/>
          <w:color w:val="000000" w:themeColor="text1"/>
          <w:sz w:val="21"/>
          <w:szCs w:val="21"/>
        </w:rPr>
        <w:t xml:space="preserve">You have been assigned a </w:t>
      </w:r>
      <w:r w:rsidR="00B3746E" w:rsidRPr="00D1690A">
        <w:rPr>
          <w:rFonts w:ascii="Arial" w:hAnsi="Arial" w:cs="Arial"/>
          <w:color w:val="000000" w:themeColor="text1"/>
          <w:sz w:val="21"/>
          <w:szCs w:val="21"/>
        </w:rPr>
        <w:t>Complaint</w:t>
      </w:r>
      <w:r w:rsidRPr="00D1690A">
        <w:rPr>
          <w:rFonts w:ascii="Arial" w:hAnsi="Arial" w:cs="Arial"/>
          <w:color w:val="000000" w:themeColor="text1"/>
          <w:sz w:val="21"/>
          <w:szCs w:val="21"/>
        </w:rPr>
        <w:t xml:space="preserve">/Inquire/Suggestion/compliment on Contact </w:t>
      </w:r>
      <w:r w:rsidR="00B3746E" w:rsidRPr="00D1690A">
        <w:rPr>
          <w:rFonts w:ascii="Arial" w:hAnsi="Arial" w:cs="Arial"/>
          <w:color w:val="000000" w:themeColor="text1"/>
          <w:sz w:val="21"/>
          <w:szCs w:val="21"/>
        </w:rPr>
        <w:t>Centre</w:t>
      </w:r>
      <w:r w:rsidRPr="00D1690A">
        <w:rPr>
          <w:rFonts w:ascii="Arial" w:hAnsi="Arial" w:cs="Arial"/>
          <w:color w:val="000000" w:themeColor="text1"/>
          <w:sz w:val="21"/>
          <w:szCs w:val="21"/>
        </w:rPr>
        <w:t xml:space="preserve"> with Ref. No. </w:t>
      </w:r>
      <w:r w:rsidRPr="00D1690A">
        <w:rPr>
          <w:rFonts w:ascii="Arial" w:hAnsi="Arial" w:cs="Arial"/>
          <w:b/>
          <w:color w:val="000000" w:themeColor="text1"/>
          <w:sz w:val="21"/>
          <w:szCs w:val="21"/>
        </w:rPr>
        <w:t>WCF-CC-190971</w:t>
      </w:r>
    </w:p>
    <w:p w:rsidR="00A64E7E" w:rsidRPr="00D1690A" w:rsidRDefault="00A83956" w:rsidP="00B3746E">
      <w:pPr>
        <w:pStyle w:val="body"/>
        <w:spacing w:before="240" w:beforeAutospacing="0" w:after="0" w:afterAutospacing="0"/>
        <w:ind w:left="75" w:right="75"/>
        <w:jc w:val="both"/>
        <w:rPr>
          <w:rStyle w:val="Hyperlink"/>
          <w:rFonts w:ascii="Trebuchet MS" w:hAnsi="Trebuchet MS"/>
          <w:b/>
          <w:bCs/>
          <w:color w:val="000000" w:themeColor="text1"/>
          <w:sz w:val="20"/>
          <w:szCs w:val="20"/>
          <w:shd w:val="clear" w:color="auto" w:fill="FFFFFF"/>
        </w:rPr>
      </w:pPr>
      <w:hyperlink r:id="rId7" w:tgtFrame="9j8zahulDVQS1qhQueKInBZ" w:history="1">
        <w:r w:rsidR="00A64E7E" w:rsidRPr="00D1690A">
          <w:rPr>
            <w:rStyle w:val="Hyperlink"/>
            <w:rFonts w:ascii="Trebuchet MS" w:hAnsi="Trebuchet MS"/>
            <w:b/>
            <w:bCs/>
            <w:color w:val="000000" w:themeColor="text1"/>
            <w:sz w:val="20"/>
            <w:szCs w:val="20"/>
            <w:shd w:val="clear" w:color="auto" w:fill="FFFFFF"/>
          </w:rPr>
          <w:t>Click here to view.</w:t>
        </w:r>
      </w:hyperlink>
    </w:p>
    <w:p w:rsidR="00B3746E" w:rsidRPr="00D1690A" w:rsidRDefault="00B3746E" w:rsidP="00B3746E">
      <w:pPr>
        <w:pStyle w:val="body"/>
        <w:spacing w:before="240" w:beforeAutospacing="0" w:after="0" w:afterAutospacing="0"/>
        <w:ind w:left="75" w:right="75"/>
        <w:jc w:val="both"/>
        <w:rPr>
          <w:rStyle w:val="Hyperlink"/>
          <w:rFonts w:ascii="Trebuchet MS" w:hAnsi="Trebuchet MS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B3746E" w:rsidRPr="00D1690A" w:rsidRDefault="00B3746E" w:rsidP="00B3746E">
      <w:pPr>
        <w:pStyle w:val="body"/>
        <w:spacing w:before="240" w:beforeAutospacing="0" w:after="0" w:afterAutospacing="0"/>
        <w:ind w:left="75" w:right="75"/>
        <w:jc w:val="both"/>
        <w:rPr>
          <w:rStyle w:val="Hyperlink"/>
          <w:rFonts w:ascii="Trebuchet MS" w:hAnsi="Trebuchet MS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B3746E" w:rsidRPr="00D1690A" w:rsidRDefault="00B3746E" w:rsidP="00B3746E">
      <w:pPr>
        <w:pStyle w:val="body"/>
        <w:spacing w:before="240" w:beforeAutospacing="0" w:after="0" w:afterAutospacing="0"/>
        <w:ind w:left="75" w:right="75"/>
        <w:jc w:val="both"/>
        <w:rPr>
          <w:rStyle w:val="Hyperlink"/>
          <w:rFonts w:ascii="Trebuchet MS" w:hAnsi="Trebuchet MS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B3746E" w:rsidRPr="00D1690A" w:rsidRDefault="00B3746E" w:rsidP="00B3746E">
      <w:pPr>
        <w:pStyle w:val="body"/>
        <w:spacing w:before="240" w:beforeAutospacing="0" w:after="0" w:afterAutospacing="0"/>
        <w:ind w:left="75" w:right="75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A64E7E" w:rsidRPr="00D1690A" w:rsidRDefault="00A64E7E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lastRenderedPageBreak/>
        <w:t>ANNEXURE V</w:t>
      </w:r>
      <w:r w:rsidR="001F1B97"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B</w:t>
      </w:r>
    </w:p>
    <w:p w:rsidR="00260218" w:rsidRPr="00D1690A" w:rsidRDefault="00B3746E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Subject</w:t>
      </w:r>
      <w:r w:rsidR="00A64E7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type with section/unit</w:t>
      </w:r>
      <w:r w:rsidR="00260218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87"/>
        <w:gridCol w:w="3561"/>
        <w:gridCol w:w="2468"/>
      </w:tblGrid>
      <w:tr w:rsidR="00D1690A" w:rsidRPr="00D1690A" w:rsidTr="001F1B97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Directorate of Operation</w:t>
            </w:r>
          </w:p>
        </w:tc>
      </w:tr>
      <w:tr w:rsidR="00D1690A" w:rsidRPr="00D1690A" w:rsidTr="001F1B97">
        <w:trPr>
          <w:trHeight w:val="26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Claims Administration Section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Compliance Section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Records Section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Pension Payment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Contribution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Correspondences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Compensation Payment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Registration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Approval of Medical Aid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Annual Return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Formal Hearing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Inspection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HCP &amp; HSP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Generation of Control Number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Add/Remove Employee on Payroll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Directorate of Assessment Services</w:t>
            </w:r>
          </w:p>
        </w:tc>
      </w:tr>
      <w:tr w:rsidR="00D1690A" w:rsidRPr="00D1690A" w:rsidTr="001F1B97">
        <w:trPr>
          <w:trHeight w:val="26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Claims Assessment Section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Workplace Risk Assessment Section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Medical Advisor Panel (MAP)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Workplace Risk Assessment Matters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Imparment</w:t>
            </w:r>
            <w:proofErr w:type="spellEnd"/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Assessment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Assessment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HCP &amp; HSP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Directorate of finance, planning and investment</w:t>
            </w:r>
          </w:p>
        </w:tc>
      </w:tr>
      <w:tr w:rsidR="00D1690A" w:rsidRPr="00D1690A" w:rsidTr="001F1B97">
        <w:trPr>
          <w:trHeight w:val="26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Planning </w:t>
            </w:r>
            <w:proofErr w:type="gramStart"/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And</w:t>
            </w:r>
            <w:proofErr w:type="gramEnd"/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 Research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Finance Section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Investment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Planning </w:t>
            </w:r>
            <w:proofErr w:type="gramStart"/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And</w:t>
            </w:r>
            <w:proofErr w:type="gramEnd"/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Research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Payments 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Investment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Units</w:t>
            </w:r>
          </w:p>
        </w:tc>
      </w:tr>
      <w:tr w:rsidR="00D1690A" w:rsidRPr="00D1690A" w:rsidTr="001F1B97">
        <w:trPr>
          <w:trHeight w:val="52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Legal Unit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ICT Unit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Actuarial Services Statistics and Risk Management Unit</w:t>
            </w:r>
          </w:p>
        </w:tc>
      </w:tr>
      <w:tr w:rsidR="00D1690A" w:rsidRPr="00D1690A" w:rsidTr="001F1B97">
        <w:trPr>
          <w:trHeight w:val="50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Legal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ICT Technical Support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Actuarial Services and Risk Management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lastRenderedPageBreak/>
              <w:t>Review Decision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Statistics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78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Public Relation Unit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Procurement Management Unit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Human Resource Management and Administration Unit.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Awarenes</w:t>
            </w:r>
            <w:proofErr w:type="spellEnd"/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Procument Matters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Recquitment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Donation/ Sponsorship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Human Resource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Exhibition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Field &amp; Intern Attachments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Advertisement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DG's Office Matters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6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internal audit unit 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D1690A" w:rsidRPr="00D1690A" w:rsidTr="001F1B97">
        <w:trPr>
          <w:trHeight w:val="2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Audit matters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97" w:rsidRPr="00D1690A" w:rsidRDefault="001F1B97" w:rsidP="00B3746E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D1690A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</w:tbl>
    <w:p w:rsidR="00A64E7E" w:rsidRPr="00D1690A" w:rsidRDefault="00A64E7E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1F1B97" w:rsidRPr="00D1690A" w:rsidRDefault="001F1B97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VI</w:t>
      </w:r>
    </w:p>
    <w:p w:rsidR="001F1B97" w:rsidRPr="00D1690A" w:rsidRDefault="001F1B97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Agent’s Dashboard</w:t>
      </w:r>
      <w:r w:rsidR="00521564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show the following items</w:t>
      </w:r>
      <w:r w:rsidR="00477C9D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terms of number and graph</w:t>
      </w:r>
      <w:r w:rsidR="00521564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Incoming Calls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Calls Received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Abandoned Calls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Missed Calls</w:t>
      </w:r>
    </w:p>
    <w:p w:rsidR="00521564" w:rsidRPr="00D1690A" w:rsidRDefault="00521564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Waiting Call on Queue</w:t>
      </w:r>
    </w:p>
    <w:p w:rsidR="00521564" w:rsidRPr="00D1690A" w:rsidRDefault="00521564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Indication of call handling time by color – Green acceptable time, Yellow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tolerable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time, Red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intolerable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 as per standard call center timings</w:t>
      </w:r>
    </w:p>
    <w:p w:rsidR="00F93BD9" w:rsidRPr="00D1690A" w:rsidRDefault="00F93BD9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3 minutes – green</w:t>
      </w:r>
    </w:p>
    <w:p w:rsidR="00F93BD9" w:rsidRPr="00D1690A" w:rsidRDefault="00F93BD9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4 minutes – yellow</w:t>
      </w:r>
    </w:p>
    <w:p w:rsidR="00F93BD9" w:rsidRPr="00D1690A" w:rsidRDefault="00F93BD9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 minutes – red </w:t>
      </w:r>
    </w:p>
    <w:p w:rsidR="00684323" w:rsidRPr="00D1690A" w:rsidRDefault="00684323" w:rsidP="00B3746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Voice Notes (Assigned to the current agent)</w:t>
      </w:r>
    </w:p>
    <w:p w:rsidR="00521564" w:rsidRPr="00D1690A" w:rsidRDefault="00521564" w:rsidP="00B3746E">
      <w:pPr>
        <w:pStyle w:val="ListParagraph"/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21564" w:rsidRPr="00D1690A" w:rsidRDefault="00521564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VII</w:t>
      </w:r>
    </w:p>
    <w:p w:rsidR="00521564" w:rsidRPr="00D1690A" w:rsidRDefault="00521564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Supervisor Dashboard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Incoming Calls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Calls Received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Abandoned Calls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Missed Calls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Waiting Call on Queue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Agents Online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Paused agents with reasons</w:t>
      </w:r>
    </w:p>
    <w:p w:rsidR="00477C9D" w:rsidRPr="00D1690A" w:rsidRDefault="00477C9D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Daily average time of handling calls with color indications - Green acceptable time, Yellow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tolerable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time, Red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intolerable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 as per standard call center timings</w:t>
      </w:r>
    </w:p>
    <w:p w:rsidR="00477C9D" w:rsidRPr="00D1690A" w:rsidRDefault="00AE531F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Active Calls</w:t>
      </w:r>
    </w:p>
    <w:p w:rsidR="000958E6" w:rsidRPr="00D1690A" w:rsidRDefault="000958E6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Agent Idle time</w:t>
      </w:r>
    </w:p>
    <w:p w:rsidR="00684323" w:rsidRPr="00D1690A" w:rsidRDefault="00684323" w:rsidP="00B3746E">
      <w:pPr>
        <w:pStyle w:val="ListParagraph"/>
        <w:numPr>
          <w:ilvl w:val="0"/>
          <w:numId w:val="3"/>
        </w:numPr>
        <w:spacing w:before="240" w:after="0" w:line="240" w:lineRule="auto"/>
        <w:ind w:left="1134" w:hanging="774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Voice Notes</w:t>
      </w:r>
    </w:p>
    <w:p w:rsidR="00521564" w:rsidRPr="00D1690A" w:rsidRDefault="00521564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21564" w:rsidRPr="00D1690A" w:rsidRDefault="00521564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VIII</w:t>
      </w:r>
    </w:p>
    <w:p w:rsidR="00AE531F" w:rsidRPr="00D1690A" w:rsidRDefault="000142CD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Call Detail Report with following column</w:t>
      </w:r>
      <w:r w:rsidR="007B742F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filtered per selected dates</w:t>
      </w:r>
      <w:r w:rsidR="006539E5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hours, location,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and status</w:t>
      </w:r>
      <w:r w:rsidR="007B742F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. The report can be customized by column visibility</w:t>
      </w:r>
      <w:r w:rsidR="00BA208F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. Can be downloaded as csv/excel or pdf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Ticket ID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Caller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Employer</w:t>
      </w:r>
    </w:p>
    <w:p w:rsidR="0086016D" w:rsidRPr="00D1690A" w:rsidRDefault="0086016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Region</w:t>
      </w:r>
    </w:p>
    <w:p w:rsidR="000142CD" w:rsidRPr="00D1690A" w:rsidRDefault="0086016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District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Subject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Agent name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Status (Open, Closed)</w:t>
      </w:r>
    </w:p>
    <w:p w:rsidR="0086016D" w:rsidRPr="00D1690A" w:rsidRDefault="0086016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Date registered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start and end time</w:t>
      </w:r>
    </w:p>
    <w:p w:rsidR="000142CD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duration</w:t>
      </w:r>
    </w:p>
    <w:p w:rsidR="000142CD" w:rsidRPr="00D1690A" w:rsidRDefault="005C6262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Pending request (Current Section and Employee)</w:t>
      </w:r>
    </w:p>
    <w:p w:rsidR="00BA0E6B" w:rsidRPr="00D1690A" w:rsidRDefault="000142CD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Caller numbers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Description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Channel</w:t>
      </w:r>
    </w:p>
    <w:p w:rsidR="004907D8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Category</w:t>
      </w:r>
      <w:r w:rsidR="00401D4E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 (Inquiry, complain. Compliments, suggestion)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 w:firstLine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Financial Year</w:t>
      </w:r>
    </w:p>
    <w:p w:rsidR="005C6262" w:rsidRPr="00D1690A" w:rsidRDefault="005C6262" w:rsidP="00B3746E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</w:p>
    <w:p w:rsidR="005C6262" w:rsidRPr="00D1690A" w:rsidRDefault="005C6262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eastAsia="Times New Roman" w:hAnsi="Arial" w:cs="Arial"/>
          <w:b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b/>
          <w:color w:val="000000" w:themeColor="text1"/>
          <w:kern w:val="0"/>
          <w:sz w:val="24"/>
          <w:szCs w:val="24"/>
          <w:lang w:val="en-US"/>
        </w:rPr>
        <w:lastRenderedPageBreak/>
        <w:t>ANNEXURE IX</w:t>
      </w:r>
    </w:p>
    <w:p w:rsidR="005C6262" w:rsidRPr="00D1690A" w:rsidRDefault="005C6262" w:rsidP="00B3746E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Individual Agent Report filtered by date and hours</w:t>
      </w:r>
      <w:r w:rsidR="00BA208F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. </w:t>
      </w:r>
      <w:r w:rsidR="00BA208F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The report can be customized by column visibility. Can be downloaded as csv/excel or pdf.</w:t>
      </w:r>
      <w:r w:rsidR="00BA208F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0958E6" w:rsidRPr="00D1690A" w:rsidRDefault="000958E6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Agent ID</w:t>
      </w:r>
    </w:p>
    <w:p w:rsidR="000958E6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Agent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Number of Calls Assigned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Number of Calls Attended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Number of Calls Lost</w:t>
      </w:r>
    </w:p>
    <w:p w:rsidR="000958E6" w:rsidRPr="00D1690A" w:rsidRDefault="000958E6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Terminated Calls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Idle time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Average call length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Minimum Call length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Maximum Call length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Total Call length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Average Call waiting time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Minimum Call waiting time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Maximum Call waiting time</w:t>
      </w:r>
    </w:p>
    <w:p w:rsidR="005C6262" w:rsidRPr="00D1690A" w:rsidRDefault="005C6262" w:rsidP="00B3746E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Total Call waiting time</w:t>
      </w:r>
    </w:p>
    <w:p w:rsidR="000142CD" w:rsidRPr="00D1690A" w:rsidRDefault="000142CD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958E6" w:rsidRPr="00D1690A" w:rsidRDefault="000958E6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ANNEXURE X</w:t>
      </w:r>
    </w:p>
    <w:p w:rsidR="00BA208F" w:rsidRPr="00D1690A" w:rsidRDefault="00BA208F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Workflow Stage Report with following columns filtered per selected dates, hours, location, </w:t>
      </w:r>
      <w:r w:rsidR="00B3746E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and status</w:t>
      </w: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. The report can be customized by column visibility. Can be downloaded as csv/excel or pdf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Ticket ID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Caller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Employer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Location (Region and District)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Subject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Agent name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Status (Open, Closed)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start and end time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duration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Pending request (Current Section and Employee)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Caller numbers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lastRenderedPageBreak/>
        <w:t>Request Registered date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Request </w:t>
      </w:r>
      <w:r w:rsidR="00B3746E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Escalated</w:t>
      </w: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 date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Request Closed Date</w:t>
      </w:r>
    </w:p>
    <w:p w:rsidR="00BA208F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Attended by</w:t>
      </w:r>
    </w:p>
    <w:p w:rsidR="00BA0E6B" w:rsidRPr="00D1690A" w:rsidRDefault="00BA208F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Aging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Description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Channel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Category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Financial Year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</w:p>
    <w:p w:rsidR="000958E6" w:rsidRPr="00D1690A" w:rsidRDefault="000958E6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958E6" w:rsidRPr="00D1690A" w:rsidRDefault="000958E6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XI</w:t>
      </w:r>
    </w:p>
    <w:p w:rsidR="00684323" w:rsidRPr="00D1690A" w:rsidRDefault="00684323" w:rsidP="00B3746E">
      <w:pPr>
        <w:pStyle w:val="ListParagraph"/>
        <w:numPr>
          <w:ilvl w:val="0"/>
          <w:numId w:val="6"/>
        </w:numPr>
        <w:spacing w:before="240" w:after="0" w:line="240" w:lineRule="auto"/>
        <w:ind w:left="1134" w:hanging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IVR </w:t>
      </w:r>
      <w:r w:rsidR="005C5B3A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Number</w:t>
      </w:r>
    </w:p>
    <w:p w:rsidR="00684323" w:rsidRPr="00D1690A" w:rsidRDefault="005C5B3A" w:rsidP="00B3746E">
      <w:pPr>
        <w:pStyle w:val="ListParagraph"/>
        <w:numPr>
          <w:ilvl w:val="0"/>
          <w:numId w:val="6"/>
        </w:numPr>
        <w:spacing w:before="240" w:after="0" w:line="240" w:lineRule="auto"/>
        <w:ind w:left="1134" w:hanging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Phone Number</w:t>
      </w:r>
    </w:p>
    <w:p w:rsidR="005C5B3A" w:rsidRPr="00D1690A" w:rsidRDefault="005C5B3A" w:rsidP="00B3746E">
      <w:pPr>
        <w:pStyle w:val="ListParagraph"/>
        <w:numPr>
          <w:ilvl w:val="0"/>
          <w:numId w:val="6"/>
        </w:numPr>
        <w:spacing w:before="240" w:after="0" w:line="240" w:lineRule="auto"/>
        <w:ind w:left="1134" w:hanging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Duration</w:t>
      </w:r>
    </w:p>
    <w:p w:rsidR="00F909B1" w:rsidRPr="00D1690A" w:rsidRDefault="00F909B1" w:rsidP="00B3746E">
      <w:pPr>
        <w:pStyle w:val="ListParagraph"/>
        <w:numPr>
          <w:ilvl w:val="0"/>
          <w:numId w:val="6"/>
        </w:numPr>
        <w:spacing w:before="240" w:after="0" w:line="240" w:lineRule="auto"/>
        <w:ind w:left="1134" w:hanging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IVR Stage</w:t>
      </w:r>
    </w:p>
    <w:p w:rsidR="000958E6" w:rsidRPr="00D1690A" w:rsidRDefault="000958E6" w:rsidP="00B3746E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958E6" w:rsidRPr="00D1690A" w:rsidRDefault="000958E6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XII</w:t>
      </w:r>
      <w:r w:rsidR="0033739C"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(SLA Report)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Ticket ID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Caller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Employer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Location (Region and District)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Subject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Agent name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Status (Open, Closed)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start and end time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 duration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Pending request (Current Section and Employee)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  <w:t>Caller numbers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lastRenderedPageBreak/>
        <w:t>Request Registered date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Request </w:t>
      </w:r>
      <w:r w:rsidR="00B3746E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Escalated</w:t>
      </w: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 date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Request Closed Date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Attended by</w:t>
      </w:r>
    </w:p>
    <w:p w:rsidR="005F2388" w:rsidRPr="00D1690A" w:rsidRDefault="005F2388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Aging</w:t>
      </w:r>
    </w:p>
    <w:p w:rsidR="00BA0E6B" w:rsidRPr="00D1690A" w:rsidRDefault="00B3746E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Ring time</w:t>
      </w:r>
      <w:r w:rsidR="005F2388"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 xml:space="preserve"> duration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Description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Channel</w:t>
      </w:r>
    </w:p>
    <w:p w:rsidR="00B3746E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Category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Financial Year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426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</w:p>
    <w:p w:rsidR="00665155" w:rsidRPr="00D1690A" w:rsidRDefault="007F1D60" w:rsidP="00B3746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690A">
        <w:rPr>
          <w:rFonts w:ascii="Arial" w:hAnsi="Arial" w:cs="Arial"/>
          <w:color w:val="000000" w:themeColor="text1"/>
          <w:sz w:val="24"/>
          <w:szCs w:val="24"/>
          <w:lang w:val="en-US"/>
        </w:rPr>
        <w:t>ANNEXURE XIII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Ticket ID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Caller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Caller Number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Name of Employer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Channel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Complaint Description</w:t>
      </w:r>
    </w:p>
    <w:p w:rsidR="00665155" w:rsidRPr="00D1690A" w:rsidRDefault="00F909B1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Complain Class (major, minor)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Responsible Directorate or Unit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Date of Review and Resolution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Resolution Details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Date of Feedback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Location (Region and District)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Subject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Agent name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Status (Open, Closed)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lastRenderedPageBreak/>
        <w:t>Pending request (Current Section and Employee)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Request Registered date</w:t>
      </w:r>
    </w:p>
    <w:p w:rsidR="00665155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Attended by</w:t>
      </w:r>
    </w:p>
    <w:p w:rsidR="00BA0E6B" w:rsidRPr="00D1690A" w:rsidRDefault="00665155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Aging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Description</w:t>
      </w:r>
    </w:p>
    <w:p w:rsidR="00BA0E6B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Channel</w:t>
      </w:r>
    </w:p>
    <w:p w:rsidR="00B3746E" w:rsidRPr="00D1690A" w:rsidRDefault="00BA0E6B" w:rsidP="00B3746E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134" w:hanging="708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r w:rsidRPr="00D169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</w:rPr>
        <w:t>Category</w:t>
      </w:r>
    </w:p>
    <w:p w:rsidR="00BA0E6B" w:rsidRPr="00D1690A" w:rsidRDefault="00BA0E6B" w:rsidP="00131488">
      <w:pPr>
        <w:shd w:val="clear" w:color="auto" w:fill="FFFFFF"/>
        <w:spacing w:before="240" w:after="0" w:line="240" w:lineRule="auto"/>
        <w:ind w:left="1134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</w:rPr>
      </w:pPr>
      <w:bookmarkStart w:id="1" w:name="_GoBack"/>
      <w:bookmarkEnd w:id="1"/>
    </w:p>
    <w:sectPr w:rsidR="00BA0E6B" w:rsidRPr="00D1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956" w:rsidRDefault="00A83956" w:rsidP="00111EFC">
      <w:pPr>
        <w:spacing w:after="0" w:line="240" w:lineRule="auto"/>
      </w:pPr>
      <w:r>
        <w:separator/>
      </w:r>
    </w:p>
  </w:endnote>
  <w:endnote w:type="continuationSeparator" w:id="0">
    <w:p w:rsidR="00A83956" w:rsidRDefault="00A83956" w:rsidP="0011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956" w:rsidRDefault="00A83956" w:rsidP="00111EFC">
      <w:pPr>
        <w:spacing w:after="0" w:line="240" w:lineRule="auto"/>
      </w:pPr>
      <w:r>
        <w:separator/>
      </w:r>
    </w:p>
  </w:footnote>
  <w:footnote w:type="continuationSeparator" w:id="0">
    <w:p w:rsidR="00A83956" w:rsidRDefault="00A83956" w:rsidP="00111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2F98"/>
    <w:multiLevelType w:val="multilevel"/>
    <w:tmpl w:val="432C6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49B0"/>
    <w:multiLevelType w:val="hybridMultilevel"/>
    <w:tmpl w:val="0966D44C"/>
    <w:lvl w:ilvl="0" w:tplc="CEB48D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C1084"/>
    <w:multiLevelType w:val="hybridMultilevel"/>
    <w:tmpl w:val="979A7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27148"/>
    <w:multiLevelType w:val="hybridMultilevel"/>
    <w:tmpl w:val="54A80C38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1E32"/>
    <w:multiLevelType w:val="multilevel"/>
    <w:tmpl w:val="432AF168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5" w15:restartNumberingAfterBreak="0">
    <w:nsid w:val="3D0770C3"/>
    <w:multiLevelType w:val="hybridMultilevel"/>
    <w:tmpl w:val="41223B2C"/>
    <w:lvl w:ilvl="0" w:tplc="4CD054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4AB1"/>
    <w:multiLevelType w:val="hybridMultilevel"/>
    <w:tmpl w:val="62224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02139"/>
    <w:multiLevelType w:val="multilevel"/>
    <w:tmpl w:val="63007EA8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8" w15:restartNumberingAfterBreak="0">
    <w:nsid w:val="581B49F8"/>
    <w:multiLevelType w:val="hybridMultilevel"/>
    <w:tmpl w:val="EC3420C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7E89"/>
    <w:multiLevelType w:val="hybridMultilevel"/>
    <w:tmpl w:val="5B96E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129E1"/>
    <w:multiLevelType w:val="hybridMultilevel"/>
    <w:tmpl w:val="70F84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91B47"/>
    <w:multiLevelType w:val="hybridMultilevel"/>
    <w:tmpl w:val="9AD45634"/>
    <w:lvl w:ilvl="0" w:tplc="4E78AF82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FC"/>
    <w:rsid w:val="000142CD"/>
    <w:rsid w:val="000958E6"/>
    <w:rsid w:val="00111EFC"/>
    <w:rsid w:val="00131488"/>
    <w:rsid w:val="00165ABA"/>
    <w:rsid w:val="001B0F8D"/>
    <w:rsid w:val="001F1B97"/>
    <w:rsid w:val="00260218"/>
    <w:rsid w:val="002E67F2"/>
    <w:rsid w:val="0033739C"/>
    <w:rsid w:val="003B23C4"/>
    <w:rsid w:val="00401D4E"/>
    <w:rsid w:val="004772B1"/>
    <w:rsid w:val="00477C9D"/>
    <w:rsid w:val="004907D8"/>
    <w:rsid w:val="004A2507"/>
    <w:rsid w:val="004E1FE8"/>
    <w:rsid w:val="00521564"/>
    <w:rsid w:val="00553021"/>
    <w:rsid w:val="005A039A"/>
    <w:rsid w:val="005C56EE"/>
    <w:rsid w:val="005C5B3A"/>
    <w:rsid w:val="005C6262"/>
    <w:rsid w:val="005F2388"/>
    <w:rsid w:val="006539E5"/>
    <w:rsid w:val="00665155"/>
    <w:rsid w:val="00672101"/>
    <w:rsid w:val="00684323"/>
    <w:rsid w:val="006C7026"/>
    <w:rsid w:val="007B742F"/>
    <w:rsid w:val="007C24B8"/>
    <w:rsid w:val="007C637C"/>
    <w:rsid w:val="007F1D60"/>
    <w:rsid w:val="0086016D"/>
    <w:rsid w:val="00880D3C"/>
    <w:rsid w:val="009E426B"/>
    <w:rsid w:val="00A64E7E"/>
    <w:rsid w:val="00A83956"/>
    <w:rsid w:val="00AE112E"/>
    <w:rsid w:val="00AE531F"/>
    <w:rsid w:val="00B3746E"/>
    <w:rsid w:val="00BA0E6B"/>
    <w:rsid w:val="00BA208F"/>
    <w:rsid w:val="00C437CD"/>
    <w:rsid w:val="00CA1407"/>
    <w:rsid w:val="00CE05D7"/>
    <w:rsid w:val="00D1690A"/>
    <w:rsid w:val="00E104C0"/>
    <w:rsid w:val="00F909B1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C15"/>
  <w15:chartTrackingRefBased/>
  <w15:docId w15:val="{B2D23FC1-950B-465E-AF31-7B3A7E40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FC"/>
  </w:style>
  <w:style w:type="paragraph" w:styleId="Footer">
    <w:name w:val="footer"/>
    <w:basedOn w:val="Normal"/>
    <w:link w:val="FooterChar"/>
    <w:uiPriority w:val="99"/>
    <w:unhideWhenUsed/>
    <w:rsid w:val="0011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FC"/>
  </w:style>
  <w:style w:type="paragraph" w:customStyle="1" w:styleId="head">
    <w:name w:val="head"/>
    <w:basedOn w:val="Normal"/>
    <w:rsid w:val="00A6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body">
    <w:name w:val="body"/>
    <w:basedOn w:val="Normal"/>
    <w:rsid w:val="00A6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4E7E"/>
    <w:rPr>
      <w:rFonts w:cs="Times New Roman"/>
      <w:color w:val="0000FF"/>
      <w:u w:val="single"/>
    </w:rPr>
  </w:style>
  <w:style w:type="character" w:customStyle="1" w:styleId="StrongEmphasis">
    <w:name w:val="Strong Emphasis"/>
    <w:qFormat/>
    <w:rsid w:val="003B23C4"/>
    <w:rPr>
      <w:b/>
    </w:rPr>
  </w:style>
  <w:style w:type="paragraph" w:styleId="BodyText">
    <w:name w:val="Body Text"/>
    <w:basedOn w:val="Normal"/>
    <w:link w:val="BodyTextChar"/>
    <w:uiPriority w:val="99"/>
    <w:rsid w:val="003B23C4"/>
    <w:pPr>
      <w:suppressAutoHyphens/>
      <w:spacing w:after="140" w:line="276" w:lineRule="auto"/>
    </w:pPr>
    <w:rPr>
      <w:rFonts w:ascii="Liberation Serif" w:eastAsia="Times New Roman" w:hAnsi="Liberation Serif" w:cs="Lohit Devanagari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3B23C4"/>
    <w:rPr>
      <w:rFonts w:ascii="Liberation Serif" w:eastAsia="Times New Roman" w:hAnsi="Liberation Serif" w:cs="Lohit Devanagari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office.wcf.go.tz/mails/216806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Silvanus A. Kuloshe</cp:lastModifiedBy>
  <cp:revision>4</cp:revision>
  <dcterms:created xsi:type="dcterms:W3CDTF">2025-03-14T05:10:00Z</dcterms:created>
  <dcterms:modified xsi:type="dcterms:W3CDTF">2025-03-14T05:12:00Z</dcterms:modified>
</cp:coreProperties>
</file>