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169463f4ea087af56e789318333a58ae3327b68"/>
    <w:p>
      <w:pPr>
        <w:pStyle w:val="Heading1"/>
      </w:pPr>
      <w:r>
        <w:t xml:space="preserve">Neonatal Oxygen Availability and Developmental Disease Burden in Low- and Middle-Income Countries: A Natural Experiment Framework</w:t>
      </w:r>
    </w:p>
    <w:p>
      <w:pPr>
        <w:pStyle w:val="FirstParagraph"/>
      </w:pPr>
      <w:r>
        <w:rPr>
          <w:b/>
          <w:bCs/>
        </w:rPr>
        <w:t xml:space="preserve">Jay Andrew Carpenter</w:t>
      </w:r>
      <w:r>
        <w:t xml:space="preserve"> </w:t>
      </w:r>
      <w:r>
        <w:t xml:space="preserve">Independent Researcher, Sydney, Australia</w:t>
      </w:r>
      <w:r>
        <w:t xml:space="preserve"> </w:t>
      </w:r>
      <w:r>
        <w:t xml:space="preserve">jay.andrew.carpenter@gmail.com | jay@secs.observer</w:t>
      </w:r>
    </w:p>
    <w:p>
      <w:pPr>
        <w:pStyle w:val="BodyText"/>
      </w:pPr>
      <w:r>
        <w:rPr>
          <w:b/>
          <w:bCs/>
        </w:rPr>
        <w:t xml:space="preserve">License:</w:t>
      </w:r>
      <w:r>
        <w:t xml:space="preserve"> </w:t>
      </w:r>
      <w:r>
        <w:t xml:space="preserve">CC-BY 4.0 International</w:t>
      </w:r>
    </w:p>
    <w:p>
      <w:r>
        <w:pict>
          <v:rect style="width:0;height:1.5pt" o:hralign="center" o:hrstd="t" o:hr="t"/>
        </w:pict>
      </w:r>
    </w:p>
    <w:bookmarkStart w:id="9" w:name="abstract"/>
    <w:p>
      <w:pPr>
        <w:pStyle w:val="Heading2"/>
      </w:pPr>
      <w:r>
        <w:t xml:space="preserve">Abstract</w:t>
      </w:r>
    </w:p>
    <w:p>
      <w:pPr>
        <w:pStyle w:val="FirstParagraph"/>
      </w:pPr>
      <w:r>
        <w:t xml:space="preserve">A natural experiment in neonatal oxygen management is currently underway across low- and middle-income countries (LMICs). Baseline surveys from the MOXY initiative reveal that only 24% of primary-level facilities in high-burden countries possess functional pulse oximetry, and oxygen delivery systems remain absent from most birth settings where the majority of deliveries occur. Simultaneously, large-scale programmes — NEST360, Lifebox, and the WHO Oxygen Systems initiative — are deploying pulse oximetry and oxygen infrastructure across sub-Saharan Africa, creating measurable step-changes in neonatal oxygen availability at documented time points. This paper argues that these transitions constitute a population-level natural experiment testable against the gestational oxygen-timing alignment model. If neonatal and gestational oxygen deprivation contributes to neurodevelopmental and organ-specific disease through HIF-1α-mediated progenitor cell maturation arrest, then populations transitioning from low to adequate oxygen management should show declining rates of conditions the model predicts — autism spectrum disorder, cerebral palsy, attention deficit hyperactivity disorder, developmental coordination disorder, and hypertension. We identify four immediately actionable studies using existing datasets: (1) a Global Burden of Disease ecological analysis correlating neonatal oxygen indicators with neurodevelopmental prevalence; (2) retrospective cohort analysis within NEST360 sites comparing pre- and post-implementation developmental outcomes; (3) altitude-stratified developmental assessment comparing high-altitude versus sea-level populations within the same country; and (4) Guthrie card methylation analysis from LMIC biobanks linked to developmental follow-up. These studies require no new biological samples, no invasive procedures, and no randomisation — they leverage variation that already exists due to geography, infrastructure, and programme timing.</w:t>
      </w:r>
    </w:p>
    <w:p>
      <w:pPr>
        <w:pStyle w:val="BodyText"/>
      </w:pPr>
      <w:r>
        <w:rPr>
          <w:b/>
          <w:bCs/>
        </w:rPr>
        <w:t xml:space="preserve">Keywords:</w:t>
      </w:r>
      <w:r>
        <w:t xml:space="preserve"> </w:t>
      </w:r>
      <w:r>
        <w:t xml:space="preserve">low- and middle-income countries, neonatal oxygen, pulse oximetry, natural experiment, developmental programming, HIF-1α, neurodevelopmental disorders, Global Burden of Disease, NEST360, MOXY, altitude, gestational hypoxia</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gestational oxygen-timing alignment model proposes that sustained HIF-1α activation during critical developmental windows arrests the maturation of organ-specific progenitor cells, producing a spectrum of neurodevelopmental and organ-specific conditions (Carpenter, 2026a, 2026b). The model has been developed primarily using evidence from high-income countries (HICs), where preeclampsia, prematurity, and placental insufficiency are the principal sources of gestational hypoxia.</w:t>
      </w:r>
    </w:p>
    <w:p>
      <w:pPr>
        <w:pStyle w:val="BodyText"/>
      </w:pPr>
      <w:r>
        <w:t xml:space="preserve">However, the highest burden of gestational and neonatal oxygen deprivation exists not in HICs but in low- and middle-income countries, where multiple sources of hypoxic exposure converge:</w:t>
      </w:r>
    </w:p>
    <w:p>
      <w:pPr>
        <w:pStyle w:val="Compact"/>
        <w:numPr>
          <w:ilvl w:val="0"/>
          <w:numId w:val="1001"/>
        </w:numPr>
      </w:pPr>
      <w:r>
        <w:rPr>
          <w:b/>
          <w:bCs/>
        </w:rPr>
        <w:t xml:space="preserve">Highest preeclampsia rates:</w:t>
      </w:r>
      <w:r>
        <w:t xml:space="preserve"> </w:t>
      </w:r>
      <w:r>
        <w:t xml:space="preserve">2-8% of pregnancies globally, with the highest incidence in sub-Saharan Africa and South Asia (WHO, 2011)</w:t>
      </w:r>
    </w:p>
    <w:p>
      <w:pPr>
        <w:pStyle w:val="Compact"/>
        <w:numPr>
          <w:ilvl w:val="0"/>
          <w:numId w:val="1001"/>
        </w:numPr>
      </w:pPr>
      <w:r>
        <w:rPr>
          <w:b/>
          <w:bCs/>
        </w:rPr>
        <w:t xml:space="preserve">Highest IUGR and low birth weight rates:</w:t>
      </w:r>
      <w:r>
        <w:t xml:space="preserve"> </w:t>
      </w:r>
      <w:r>
        <w:t xml:space="preserve">Affecting 15-20% of births in South Asia and sub-Saharan Africa</w:t>
      </w:r>
    </w:p>
    <w:p>
      <w:pPr>
        <w:pStyle w:val="Compact"/>
        <w:numPr>
          <w:ilvl w:val="0"/>
          <w:numId w:val="1001"/>
        </w:numPr>
      </w:pPr>
      <w:r>
        <w:rPr>
          <w:b/>
          <w:bCs/>
        </w:rPr>
        <w:t xml:space="preserve">Highest maternal iron deficiency:</w:t>
      </w:r>
      <w:r>
        <w:t xml:space="preserve"> </w:t>
      </w:r>
      <w:r>
        <w:t xml:space="preserve">Creating pseudohypoxia through impaired PHD2 function</w:t>
      </w:r>
    </w:p>
    <w:p>
      <w:pPr>
        <w:pStyle w:val="Compact"/>
        <w:numPr>
          <w:ilvl w:val="0"/>
          <w:numId w:val="1001"/>
        </w:numPr>
      </w:pPr>
      <w:r>
        <w:rPr>
          <w:b/>
          <w:bCs/>
        </w:rPr>
        <w:t xml:space="preserve">Absent neonatal oxygen management:</w:t>
      </w:r>
      <w:r>
        <w:t xml:space="preserve"> </w:t>
      </w:r>
      <w:r>
        <w:t xml:space="preserve">Only 24% of primary facilities with functional pulse oximeters (MOXY baseline, 2021)</w:t>
      </w:r>
    </w:p>
    <w:p>
      <w:pPr>
        <w:pStyle w:val="Compact"/>
        <w:numPr>
          <w:ilvl w:val="0"/>
          <w:numId w:val="1001"/>
        </w:numPr>
      </w:pPr>
      <w:r>
        <w:rPr>
          <w:b/>
          <w:bCs/>
        </w:rPr>
        <w:t xml:space="preserve">Environmental hypoxic exposures:</w:t>
      </w:r>
      <w:r>
        <w:t xml:space="preserve"> </w:t>
      </w:r>
      <w:r>
        <w:t xml:space="preserve">Air pollution, indoor cookstove smoke, and altitude</w:t>
      </w:r>
    </w:p>
    <w:p>
      <w:pPr>
        <w:pStyle w:val="FirstParagraph"/>
      </w:pPr>
      <w:r>
        <w:t xml:space="preserve">If the alignment model is correct, LMIC populations should carry the highest burden of oxygen-programmed developmental disease. They should also show the most dramatic improvements when oxygen management is implemented. This paper proposes a framework for testing these predictions using natural variation that already exists.</w:t>
      </w:r>
    </w:p>
    <w:p>
      <w:r>
        <w:pict>
          <v:rect style="width:0;height:1.5pt" o:hralign="center" o:hrstd="t" o:hr="t"/>
        </w:pict>
      </w:r>
    </w:p>
    <w:bookmarkEnd w:id="10"/>
    <w:bookmarkStart w:id="13" w:name="X0f3228f71b1a1064e840731278fb0b44da8d1b1"/>
    <w:p>
      <w:pPr>
        <w:pStyle w:val="Heading2"/>
      </w:pPr>
      <w:r>
        <w:t xml:space="preserve">2. The MOXY Baseline: Quantifying the Oxygen Gap</w:t>
      </w:r>
    </w:p>
    <w:bookmarkStart w:id="11" w:name="primary-facility-data"/>
    <w:p>
      <w:pPr>
        <w:pStyle w:val="Heading3"/>
      </w:pPr>
      <w:r>
        <w:t xml:space="preserve">2.1 Primary Facility Data</w:t>
      </w:r>
    </w:p>
    <w:p>
      <w:pPr>
        <w:pStyle w:val="FirstParagraph"/>
      </w:pPr>
      <w:r>
        <w:t xml:space="preserve">The MOXY (Measuring Oxygen Yield) initiative conducted baseline assessments of oxygen and pulse oximetry availability across high-burden LMIC settings. Key findings:</w:t>
      </w:r>
    </w:p>
    <w:p>
      <w:pPr>
        <w:pStyle w:val="Compact"/>
        <w:numPr>
          <w:ilvl w:val="0"/>
          <w:numId w:val="1002"/>
        </w:numPr>
      </w:pPr>
      <w:r>
        <w:rPr>
          <w:b/>
          <w:bCs/>
        </w:rPr>
        <w:t xml:space="preserve">24% of primary-level facilities</w:t>
      </w:r>
      <w:r>
        <w:t xml:space="preserve"> </w:t>
      </w:r>
      <w:r>
        <w:t xml:space="preserve">in surveyed countries had functional pulse oximetry</w:t>
      </w:r>
    </w:p>
    <w:p>
      <w:pPr>
        <w:pStyle w:val="Compact"/>
        <w:numPr>
          <w:ilvl w:val="0"/>
          <w:numId w:val="1002"/>
        </w:numPr>
      </w:pPr>
      <w:r>
        <w:rPr>
          <w:b/>
          <w:bCs/>
        </w:rPr>
        <w:t xml:space="preserve">Oxygen delivery systems</w:t>
      </w:r>
      <w:r>
        <w:t xml:space="preserve"> </w:t>
      </w:r>
      <w:r>
        <w:t xml:space="preserve">(concentrators, cylinders, piped systems) were absent from the majority of birth settings</w:t>
      </w:r>
    </w:p>
    <w:p>
      <w:pPr>
        <w:pStyle w:val="Compact"/>
        <w:numPr>
          <w:ilvl w:val="0"/>
          <w:numId w:val="1002"/>
        </w:numPr>
      </w:pPr>
      <w:r>
        <w:rPr>
          <w:b/>
          <w:bCs/>
        </w:rPr>
        <w:t xml:space="preserve">Maintenance infrastructure</w:t>
      </w:r>
      <w:r>
        <w:t xml:space="preserve"> </w:t>
      </w:r>
      <w:r>
        <w:t xml:space="preserve">was negligible — devices donated through aid programmes frequently became non-functional within 12-18 months</w:t>
      </w:r>
    </w:p>
    <w:p>
      <w:pPr>
        <w:pStyle w:val="Compact"/>
        <w:numPr>
          <w:ilvl w:val="0"/>
          <w:numId w:val="1002"/>
        </w:numPr>
      </w:pPr>
      <w:r>
        <w:rPr>
          <w:b/>
          <w:bCs/>
        </w:rPr>
        <w:t xml:space="preserve">Training gaps</w:t>
      </w:r>
      <w:r>
        <w:t xml:space="preserve"> </w:t>
      </w:r>
      <w:r>
        <w:t xml:space="preserve">meant that even where devices existed, correct interpretation and response to hypoxic readings was inconsistent</w:t>
      </w:r>
    </w:p>
    <w:bookmarkEnd w:id="11"/>
    <w:bookmarkStart w:id="12" w:name="what-this-means-for-the-alignment-model"/>
    <w:p>
      <w:pPr>
        <w:pStyle w:val="Heading3"/>
      </w:pPr>
      <w:r>
        <w:t xml:space="preserve">2.2 What This Means for the Alignment Model</w:t>
      </w:r>
    </w:p>
    <w:p>
      <w:pPr>
        <w:pStyle w:val="FirstParagraph"/>
      </w:pPr>
      <w:r>
        <w:t xml:space="preserve">The MOXY baseline demonstrates that in the settings where the majority of the world’s births occur, neonatal hypoxia is:</w:t>
      </w:r>
      <w:r>
        <w:t xml:space="preserve"> </w:t>
      </w:r>
      <w:r>
        <w:t xml:space="preserve">-</w:t>
      </w:r>
      <w:r>
        <w:t xml:space="preserve"> </w:t>
      </w:r>
      <w:r>
        <w:rPr>
          <w:b/>
          <w:bCs/>
        </w:rPr>
        <w:t xml:space="preserve">Undetected</w:t>
      </w:r>
      <w:r>
        <w:t xml:space="preserve"> </w:t>
      </w:r>
      <w:r>
        <w:t xml:space="preserve">(no pulse oximetry)</w:t>
      </w:r>
      <w:r>
        <w:t xml:space="preserve"> </w:t>
      </w:r>
      <w:r>
        <w:t xml:space="preserve">-</w:t>
      </w:r>
      <w:r>
        <w:t xml:space="preserve"> </w:t>
      </w:r>
      <w:r>
        <w:rPr>
          <w:b/>
          <w:bCs/>
        </w:rPr>
        <w:t xml:space="preserve">Untreated</w:t>
      </w:r>
      <w:r>
        <w:t xml:space="preserve"> </w:t>
      </w:r>
      <w:r>
        <w:t xml:space="preserve">(no oxygen delivery systems)</w:t>
      </w:r>
      <w:r>
        <w:t xml:space="preserve"> </w:t>
      </w:r>
      <w:r>
        <w:t xml:space="preserve">-</w:t>
      </w:r>
      <w:r>
        <w:t xml:space="preserve"> </w:t>
      </w:r>
      <w:r>
        <w:rPr>
          <w:b/>
          <w:bCs/>
        </w:rPr>
        <w:t xml:space="preserve">Unmonitored</w:t>
      </w:r>
      <w:r>
        <w:t xml:space="preserve"> </w:t>
      </w:r>
      <w:r>
        <w:t xml:space="preserve">(no continuous surveillance)</w:t>
      </w:r>
    </w:p>
    <w:p>
      <w:pPr>
        <w:pStyle w:val="BodyText"/>
      </w:pPr>
      <w:r>
        <w:t xml:space="preserve">This represents a population-level HIF-1α exposure that is orders of magnitude larger than the preeclampsia-specific exposure studied in HICs. The alignment model predicts that this exposure produces developmental programming at a population scale — and that its consequences are currently attributed to other causes (genetics, infection, malnutrition) or simply not measured.</w:t>
      </w:r>
    </w:p>
    <w:p>
      <w:r>
        <w:pict>
          <v:rect style="width:0;height:1.5pt" o:hralign="center" o:hrstd="t" o:hr="t"/>
        </w:pict>
      </w:r>
    </w:p>
    <w:bookmarkEnd w:id="12"/>
    <w:bookmarkEnd w:id="13"/>
    <w:bookmarkStart w:id="17" w:name="X16e926b32439541e88b6ca7daa0a7e07acadd3b"/>
    <w:p>
      <w:pPr>
        <w:pStyle w:val="Heading2"/>
      </w:pPr>
      <w:r>
        <w:t xml:space="preserve">3. The NEST360 Transition: A Time-Stamped Step-Change</w:t>
      </w:r>
    </w:p>
    <w:bookmarkStart w:id="14" w:name="programme-description"/>
    <w:p>
      <w:pPr>
        <w:pStyle w:val="Heading3"/>
      </w:pPr>
      <w:r>
        <w:t xml:space="preserve">3.1 Programme Description</w:t>
      </w:r>
    </w:p>
    <w:p>
      <w:pPr>
        <w:pStyle w:val="FirstParagraph"/>
      </w:pPr>
      <w:r>
        <w:t xml:space="preserve">NEST360 (Newborn Essential Solutions and Technologies) is a multi-country programme deploying comprehensive neonatal care technologies — including pulse oximetry, CPAP, oxygen concentrators, and phototherapy — across facilities in Tanzania, Kenya, Malawi, and Nigeria.</w:t>
      </w:r>
    </w:p>
    <w:p>
      <w:pPr>
        <w:pStyle w:val="BodyText"/>
      </w:pPr>
      <w:r>
        <w:t xml:space="preserve">Critical features for natural experiment design:</w:t>
      </w:r>
      <w:r>
        <w:t xml:space="preserve"> </w:t>
      </w:r>
      <w:r>
        <w:t xml:space="preserve">-</w:t>
      </w:r>
      <w:r>
        <w:t xml:space="preserve"> </w:t>
      </w:r>
      <w:r>
        <w:rPr>
          <w:b/>
          <w:bCs/>
        </w:rPr>
        <w:t xml:space="preserve">Known implementation dates</w:t>
      </w:r>
      <w:r>
        <w:t xml:space="preserve"> </w:t>
      </w:r>
      <w:r>
        <w:t xml:space="preserve">at each facility</w:t>
      </w:r>
      <w:r>
        <w:t xml:space="preserve"> </w:t>
      </w:r>
      <w:r>
        <w:t xml:space="preserve">-</w:t>
      </w:r>
      <w:r>
        <w:t xml:space="preserve"> </w:t>
      </w:r>
      <w:r>
        <w:rPr>
          <w:b/>
          <w:bCs/>
        </w:rPr>
        <w:t xml:space="preserve">Documented before/after oxygen availability</w:t>
      </w:r>
      <w:r>
        <w:t xml:space="preserve"> </w:t>
      </w:r>
      <w:r>
        <w:t xml:space="preserve">-</w:t>
      </w:r>
      <w:r>
        <w:t xml:space="preserve"> </w:t>
      </w:r>
      <w:r>
        <w:rPr>
          <w:b/>
          <w:bCs/>
        </w:rPr>
        <w:t xml:space="preserve">Birth cohorts identifiable</w:t>
      </w:r>
      <w:r>
        <w:t xml:space="preserve"> </w:t>
      </w:r>
      <w:r>
        <w:t xml:space="preserve">pre- and post-implementation</w:t>
      </w:r>
      <w:r>
        <w:t xml:space="preserve"> </w:t>
      </w:r>
      <w:r>
        <w:t xml:space="preserve">-</w:t>
      </w:r>
      <w:r>
        <w:t xml:space="preserve"> </w:t>
      </w:r>
      <w:r>
        <w:rPr>
          <w:b/>
          <w:bCs/>
        </w:rPr>
        <w:t xml:space="preserve">Follow-up periods</w:t>
      </w:r>
      <w:r>
        <w:t xml:space="preserve"> </w:t>
      </w:r>
      <w:r>
        <w:t xml:space="preserve">now reaching 5-6 years for the earliest cohorts</w:t>
      </w:r>
    </w:p>
    <w:bookmarkEnd w:id="14"/>
    <w:bookmarkStart w:id="15" w:name="the-natural-experiment-structure"/>
    <w:p>
      <w:pPr>
        <w:pStyle w:val="Heading3"/>
      </w:pPr>
      <w:r>
        <w:t xml:space="preserve">3.2 The Natural Experiment Structure</w:t>
      </w:r>
    </w:p>
    <w:p>
      <w:pPr>
        <w:pStyle w:val="FirstParagraph"/>
      </w:pPr>
      <w:r>
        <w:t xml:space="preserve">NEST360 creates a</w:t>
      </w:r>
      <w:r>
        <w:t xml:space="preserve"> </w:t>
      </w:r>
      <w:r>
        <w:rPr>
          <w:b/>
          <w:bCs/>
        </w:rPr>
        <w:t xml:space="preserve">quasi-experimental</w:t>
      </w:r>
      <w:r>
        <w:t xml:space="preserve"> </w:t>
      </w:r>
      <w:r>
        <w:t xml:space="preserve">framework: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Oxygen Status</w:t>
            </w:r>
          </w:p>
        </w:tc>
        <w:tc>
          <w:tcPr/>
          <w:p>
            <w:pPr>
              <w:pStyle w:val="Compact"/>
            </w:pPr>
            <w:r>
              <w:t xml:space="preserve">Birth Years</w:t>
            </w:r>
          </w:p>
        </w:tc>
        <w:tc>
          <w:tcPr/>
          <w:p>
            <w:pPr>
              <w:pStyle w:val="Compact"/>
            </w:pPr>
            <w:r>
              <w:t xml:space="preserve">Current Age</w:t>
            </w:r>
          </w:p>
        </w:tc>
      </w:tr>
      <w:tr>
        <w:tc>
          <w:tcPr/>
          <w:p>
            <w:pPr>
              <w:pStyle w:val="Compact"/>
            </w:pPr>
            <w:r>
              <w:t xml:space="preserve">Pre-implementation cohort</w:t>
            </w:r>
          </w:p>
        </w:tc>
        <w:tc>
          <w:tcPr/>
          <w:p>
            <w:pPr>
              <w:pStyle w:val="Compact"/>
            </w:pPr>
            <w:r>
              <w:t xml:space="preserve">No systematic oxygen management</w:t>
            </w:r>
          </w:p>
        </w:tc>
        <w:tc>
          <w:tcPr/>
          <w:p>
            <w:pPr>
              <w:pStyle w:val="Compact"/>
            </w:pPr>
            <w:r>
              <w:t xml:space="preserve">Before facility upgrade</w:t>
            </w:r>
          </w:p>
        </w:tc>
        <w:tc>
          <w:tcPr/>
          <w:p>
            <w:pPr>
              <w:pStyle w:val="Compact"/>
            </w:pPr>
            <w:r>
              <w:t xml:space="preserve">6-8 years</w:t>
            </w:r>
          </w:p>
        </w:tc>
      </w:tr>
      <w:tr>
        <w:tc>
          <w:tcPr/>
          <w:p>
            <w:pPr>
              <w:pStyle w:val="Compact"/>
            </w:pPr>
            <w:r>
              <w:t xml:space="preserve">Post-implementation cohort</w:t>
            </w:r>
          </w:p>
        </w:tc>
        <w:tc>
          <w:tcPr/>
          <w:p>
            <w:pPr>
              <w:pStyle w:val="Compact"/>
            </w:pPr>
            <w:r>
              <w:t xml:space="preserve">Pulse oximetry + oxygen available</w:t>
            </w:r>
          </w:p>
        </w:tc>
        <w:tc>
          <w:tcPr/>
          <w:p>
            <w:pPr>
              <w:pStyle w:val="Compact"/>
            </w:pPr>
            <w:r>
              <w:t xml:space="preserve">After facility upgrade</w:t>
            </w:r>
          </w:p>
        </w:tc>
        <w:tc>
          <w:tcPr/>
          <w:p>
            <w:pPr>
              <w:pStyle w:val="Compact"/>
            </w:pPr>
            <w:r>
              <w:t xml:space="preserve">3-5 years</w:t>
            </w:r>
          </w:p>
        </w:tc>
      </w:tr>
    </w:tbl>
    <w:p>
      <w:pPr>
        <w:pStyle w:val="BodyText"/>
      </w:pPr>
      <w:r>
        <w:t xml:space="preserve">If the alignment model is correct, the post-implementation cohort should show:</w:t>
      </w:r>
      <w:r>
        <w:t xml:space="preserve"> </w:t>
      </w:r>
      <w:r>
        <w:t xml:space="preserve">- Lower rates of developmental delay</w:t>
      </w:r>
      <w:r>
        <w:t xml:space="preserve"> </w:t>
      </w:r>
      <w:r>
        <w:t xml:space="preserve">- Lower rates of cerebral palsy</w:t>
      </w:r>
      <w:r>
        <w:t xml:space="preserve"> </w:t>
      </w:r>
      <w:r>
        <w:t xml:space="preserve">- Fewer neurodevelopmental diagnoses at school age</w:t>
      </w:r>
      <w:r>
        <w:t xml:space="preserve"> </w:t>
      </w:r>
      <w:r>
        <w:t xml:space="preserve">- Better white matter integrity on neuroimaging (where available)</w:t>
      </w:r>
    </w:p>
    <w:bookmarkEnd w:id="15"/>
    <w:bookmarkStart w:id="16" w:name="confounders-and-design-considerations"/>
    <w:p>
      <w:pPr>
        <w:pStyle w:val="Heading3"/>
      </w:pPr>
      <w:r>
        <w:t xml:space="preserve">3.3 Confounders and Design Considerations</w:t>
      </w:r>
    </w:p>
    <w:p>
      <w:pPr>
        <w:pStyle w:val="FirstParagraph"/>
      </w:pPr>
      <w:r>
        <w:t xml:space="preserve">The NEST360 transition is not oxygen-only — facilities receive multiple improvements simultaneously (nutrition, infection control, thermal management). This creates a confounding challenge. However, the alignment model makes specific predictions about</w:t>
      </w:r>
      <w:r>
        <w:t xml:space="preserve"> </w:t>
      </w:r>
      <w:r>
        <w:rPr>
          <w:i/>
          <w:iCs/>
        </w:rPr>
        <w:t xml:space="preserve">which</w:t>
      </w:r>
      <w:r>
        <w:t xml:space="preserve"> </w:t>
      </w:r>
      <w:r>
        <w:t xml:space="preserve">conditions should improve:</w:t>
      </w:r>
    </w:p>
    <w:p>
      <w:pPr>
        <w:pStyle w:val="Compact"/>
        <w:numPr>
          <w:ilvl w:val="0"/>
          <w:numId w:val="1003"/>
        </w:numPr>
      </w:pPr>
      <w:r>
        <w:rPr>
          <w:b/>
          <w:bCs/>
        </w:rPr>
        <w:t xml:space="preserve">Should improve</w:t>
      </w:r>
      <w:r>
        <w:t xml:space="preserve"> </w:t>
      </w:r>
      <w:r>
        <w:t xml:space="preserve">(oxygen-dependent per the model): CP, ASD, ADHD, DCD, white matter injury</w:t>
      </w:r>
    </w:p>
    <w:p>
      <w:pPr>
        <w:pStyle w:val="Compact"/>
        <w:numPr>
          <w:ilvl w:val="0"/>
          <w:numId w:val="1003"/>
        </w:numPr>
      </w:pPr>
      <w:r>
        <w:rPr>
          <w:b/>
          <w:bCs/>
        </w:rPr>
        <w:t xml:space="preserve">Should not substantially change</w:t>
      </w:r>
      <w:r>
        <w:t xml:space="preserve"> </w:t>
      </w:r>
      <w:r>
        <w:t xml:space="preserve">(not primarily oxygen-dependent): genetic conditions, congenital infections, chromosomal abnormalities</w:t>
      </w:r>
    </w:p>
    <w:p>
      <w:pPr>
        <w:pStyle w:val="FirstParagraph"/>
      </w:pPr>
      <w:r>
        <w:t xml:space="preserve">This differential prediction allows partial disentangling of the oxygen-specific contribution from the general facility improvement effect.</w:t>
      </w:r>
    </w:p>
    <w:p>
      <w:r>
        <w:pict>
          <v:rect style="width:0;height:1.5pt" o:hralign="center" o:hrstd="t" o:hr="t"/>
        </w:pict>
      </w:r>
    </w:p>
    <w:bookmarkEnd w:id="16"/>
    <w:bookmarkEnd w:id="17"/>
    <w:bookmarkStart w:id="21" w:name="altitude-as-a-natural-experiment"/>
    <w:p>
      <w:pPr>
        <w:pStyle w:val="Heading2"/>
      </w:pPr>
      <w:r>
        <w:t xml:space="preserve">4. Altitude as a Natural Experiment</w:t>
      </w:r>
    </w:p>
    <w:bookmarkStart w:id="18" w:name="the-altitude-exposure"/>
    <w:p>
      <w:pPr>
        <w:pStyle w:val="Heading3"/>
      </w:pPr>
      <w:r>
        <w:t xml:space="preserve">4.1 The Altitude Exposure</w:t>
      </w:r>
    </w:p>
    <w:p>
      <w:pPr>
        <w:pStyle w:val="FirstParagraph"/>
      </w:pPr>
      <w:r>
        <w:t xml:space="preserve">Populations living at high altitude (&gt;2,500m) experience chronic hypobaric hypoxia. Pregnancies at altitude are characterised by:</w:t>
      </w:r>
      <w:r>
        <w:t xml:space="preserve"> </w:t>
      </w:r>
      <w:r>
        <w:t xml:space="preserve">- Lower arterial oxygen saturation throughout gestation</w:t>
      </w:r>
      <w:r>
        <w:t xml:space="preserve"> </w:t>
      </w:r>
      <w:r>
        <w:t xml:space="preserve">- Higher rates of IUGR and low birth weight</w:t>
      </w:r>
      <w:r>
        <w:t xml:space="preserve"> </w:t>
      </w:r>
      <w:r>
        <w:t xml:space="preserve">- Increased preeclampsia incidence</w:t>
      </w:r>
      <w:r>
        <w:t xml:space="preserve"> </w:t>
      </w:r>
      <w:r>
        <w:t xml:space="preserve">- Compensatory physiological adaptations (increased erythropoiesis, uterine artery remodelling)</w:t>
      </w:r>
    </w:p>
    <w:bookmarkEnd w:id="18"/>
    <w:bookmarkStart w:id="19" w:name="existing-evidence"/>
    <w:p>
      <w:pPr>
        <w:pStyle w:val="Heading3"/>
      </w:pPr>
      <w:r>
        <w:t xml:space="preserve">4.2 Existing Evidence</w:t>
      </w:r>
    </w:p>
    <w:p>
      <w:pPr>
        <w:pStyle w:val="FirstParagraph"/>
      </w:pPr>
      <w:r>
        <w:t xml:space="preserve">Two lines of evidence support the altitude natural experiment:</w:t>
      </w:r>
    </w:p>
    <w:p>
      <w:pPr>
        <w:pStyle w:val="BodyText"/>
      </w:pPr>
      <w:r>
        <w:rPr>
          <w:b/>
          <w:bCs/>
        </w:rPr>
        <w:t xml:space="preserve">Julian (2011, 2017):</w:t>
      </w:r>
      <w:r>
        <w:t xml:space="preserve"> </w:t>
      </w:r>
      <w:r>
        <w:t xml:space="preserve">Demonstrated that multigenerational high-altitude populations (Andean, Tibetan) show genetic adaptations to hypoxia — including variants in EPAS1 (HIF-2α), EGLN1 (PHD2), and related oxygen-sensing genes. Populations without these adaptations (recent migrants to altitude) show higher rates of IUGR and preeclampsia.</w:t>
      </w:r>
    </w:p>
    <w:p>
      <w:pPr>
        <w:pStyle w:val="BodyText"/>
      </w:pPr>
      <w:r>
        <w:rPr>
          <w:b/>
          <w:bCs/>
        </w:rPr>
        <w:t xml:space="preserve">Moore et al. (2011):</w:t>
      </w:r>
      <w:r>
        <w:t xml:space="preserve"> </w:t>
      </w:r>
      <w:r>
        <w:t xml:space="preserve">Documented differential birth weight and uterine artery blood flow between ancestrally adapted (Andean) and non-adapted (European-descent) populations at the same altitude in Bolivia. Non-adapted populations showed significantly higher rates of fetal growth restriction.</w:t>
      </w:r>
    </w:p>
    <w:bookmarkEnd w:id="19"/>
    <w:bookmarkStart w:id="20" w:name="the-testable-prediction"/>
    <w:p>
      <w:pPr>
        <w:pStyle w:val="Heading3"/>
      </w:pPr>
      <w:r>
        <w:t xml:space="preserve">4.3 The Testable Prediction</w:t>
      </w:r>
    </w:p>
    <w:p>
      <w:pPr>
        <w:pStyle w:val="FirstParagraph"/>
      </w:pPr>
      <w:r>
        <w:t xml:space="preserve">The alignment model predicts that in non-adapted populations at high altitude:</w:t>
      </w:r>
      <w:r>
        <w:t xml:space="preserve"> </w:t>
      </w:r>
      <w:r>
        <w:t xml:space="preserve">- Neurodevelopmental disorder prevalence should be higher than at sea level</w:t>
      </w:r>
      <w:r>
        <w:t xml:space="preserve"> </w:t>
      </w:r>
      <w:r>
        <w:t xml:space="preserve">- The effect should be strongest for conditions with vulnerability windows during the third trimester (when oxygen demand peaks)</w:t>
      </w:r>
      <w:r>
        <w:t xml:space="preserve"> </w:t>
      </w:r>
      <w:r>
        <w:t xml:space="preserve">- Ancestrally adapted populations at the same altitude should show lower rates (because their HIF-pathway genetic adaptations reduce the severity of gestational HIF activation)</w:t>
      </w:r>
    </w:p>
    <w:p>
      <w:pPr>
        <w:pStyle w:val="BodyText"/>
      </w:pPr>
      <w:r>
        <w:rPr>
          <w:b/>
          <w:bCs/>
        </w:rPr>
        <w:t xml:space="preserve">Study design:</w:t>
      </w:r>
      <w:r>
        <w:t xml:space="preserve"> </w:t>
      </w:r>
      <w:r>
        <w:t xml:space="preserve">Within-country comparison (e.g., Bolivia, Ethiopia, Peru) of neurodevelopmental prevalence at high altitude (&gt;3,000m) versus sea level, stratified by ancestral altitude adaptation. No new biological samples required — developmental screening tools (ASQ-3, M-CHAT) can be deployed in existing community health programmes.</w:t>
      </w:r>
    </w:p>
    <w:p>
      <w:r>
        <w:pict>
          <v:rect style="width:0;height:1.5pt" o:hralign="center" o:hrstd="t" o:hr="t"/>
        </w:pict>
      </w:r>
    </w:p>
    <w:bookmarkEnd w:id="20"/>
    <w:bookmarkEnd w:id="21"/>
    <w:bookmarkStart w:id="26" w:name="X9b9613102d66ba6ab0662f1c84aadf8e45eca5f"/>
    <w:p>
      <w:pPr>
        <w:pStyle w:val="Heading2"/>
      </w:pPr>
      <w:r>
        <w:t xml:space="preserve">5. The Global Burden of Disease Ecological Analysis</w:t>
      </w:r>
    </w:p>
    <w:bookmarkStart w:id="22" w:name="rationale"/>
    <w:p>
      <w:pPr>
        <w:pStyle w:val="Heading3"/>
      </w:pPr>
      <w:r>
        <w:t xml:space="preserve">5.1 Rationale</w:t>
      </w:r>
    </w:p>
    <w:p>
      <w:pPr>
        <w:pStyle w:val="FirstParagraph"/>
      </w:pPr>
      <w:r>
        <w:t xml:space="preserve">The Global Burden of Disease (GBD) study provides country-level prevalence estimates for neurodevelopmental conditions and neonatal outcomes across 195 countries. While ecological analyses cannot establish causality, they can test whether the expected correlation pattern exists.</w:t>
      </w:r>
    </w:p>
    <w:bookmarkEnd w:id="22"/>
    <w:bookmarkStart w:id="23" w:name="proposed-analysis"/>
    <w:p>
      <w:pPr>
        <w:pStyle w:val="Heading3"/>
      </w:pPr>
      <w:r>
        <w:t xml:space="preserve">5.2 Proposed Analysis</w:t>
      </w:r>
    </w:p>
    <w:p>
      <w:pPr>
        <w:pStyle w:val="FirstParagraph"/>
      </w:pPr>
      <w:r>
        <w:rPr>
          <w:b/>
          <w:bCs/>
        </w:rPr>
        <w:t xml:space="preserve">Exposure variable:</w:t>
      </w:r>
      <w:r>
        <w:t xml:space="preserve"> </w:t>
      </w:r>
      <w:r>
        <w:t xml:space="preserve">Country-level neonatal oxygen indicators, derived from:</w:t>
      </w:r>
      <w:r>
        <w:t xml:space="preserve"> </w:t>
      </w:r>
      <w:r>
        <w:t xml:space="preserve">- MOXY pulse oximetry availability data</w:t>
      </w:r>
      <w:r>
        <w:t xml:space="preserve"> </w:t>
      </w:r>
      <w:r>
        <w:t xml:space="preserve">- WHO oxygen system assessments</w:t>
      </w:r>
      <w:r>
        <w:t xml:space="preserve"> </w:t>
      </w:r>
      <w:r>
        <w:t xml:space="preserve">- Neonatal mortality rate (as a proxy for overall neonatal care quality)</w:t>
      </w:r>
      <w:r>
        <w:t xml:space="preserve"> </w:t>
      </w:r>
      <w:r>
        <w:t xml:space="preserve">- Preeclampsia incidence estimates</w:t>
      </w:r>
      <w:r>
        <w:t xml:space="preserve"> </w:t>
      </w:r>
      <w:r>
        <w:t xml:space="preserve">- National altitude distribution (population-weighted mean altitude)</w:t>
      </w:r>
    </w:p>
    <w:p>
      <w:pPr>
        <w:pStyle w:val="BodyText"/>
      </w:pPr>
      <w:r>
        <w:rPr>
          <w:b/>
          <w:bCs/>
        </w:rPr>
        <w:t xml:space="preserve">Outcome variables:</w:t>
      </w:r>
      <w:r>
        <w:t xml:space="preserve"> </w:t>
      </w:r>
      <w:r>
        <w:t xml:space="preserve">GBD prevalence estimates for:</w:t>
      </w:r>
      <w:r>
        <w:t xml:space="preserve"> </w:t>
      </w:r>
      <w:r>
        <w:t xml:space="preserve">- Autism spectrum disorder</w:t>
      </w:r>
      <w:r>
        <w:t xml:space="preserve"> </w:t>
      </w:r>
      <w:r>
        <w:t xml:space="preserve">- ADHD</w:t>
      </w:r>
      <w:r>
        <w:t xml:space="preserve"> </w:t>
      </w:r>
      <w:r>
        <w:t xml:space="preserve">- Cerebral palsy</w:t>
      </w:r>
      <w:r>
        <w:t xml:space="preserve"> </w:t>
      </w:r>
      <w:r>
        <w:t xml:space="preserve">- Intellectual disability</w:t>
      </w:r>
      <w:r>
        <w:t xml:space="preserve"> </w:t>
      </w:r>
      <w:r>
        <w:t xml:space="preserve">- Epilepsy</w:t>
      </w:r>
      <w:r>
        <w:t xml:space="preserve"> </w:t>
      </w:r>
      <w:r>
        <w:t xml:space="preserve">- Idiopathic hypertension (adult onset)</w:t>
      </w:r>
    </w:p>
    <w:p>
      <w:pPr>
        <w:pStyle w:val="BodyText"/>
      </w:pPr>
      <w:r>
        <w:rPr>
          <w:b/>
          <w:bCs/>
        </w:rPr>
        <w:t xml:space="preserve">Covariates:</w:t>
      </w:r>
      <w:r>
        <w:t xml:space="preserve"> </w:t>
      </w:r>
      <w:r>
        <w:t xml:space="preserve">GDP per capita, maternal education, infectious disease burden, nutrition indicators, consanguinity rates, diagnostic infrastructure quality</w:t>
      </w:r>
    </w:p>
    <w:bookmarkEnd w:id="23"/>
    <w:bookmarkStart w:id="24" w:name="expected-findings"/>
    <w:p>
      <w:pPr>
        <w:pStyle w:val="Heading3"/>
      </w:pPr>
      <w:r>
        <w:t xml:space="preserve">5.3 Expected Findings</w:t>
      </w:r>
    </w:p>
    <w:p>
      <w:pPr>
        <w:pStyle w:val="FirstParagraph"/>
      </w:pPr>
      <w:r>
        <w:t xml:space="preserve">If the alignment model is correct:</w:t>
      </w:r>
      <w:r>
        <w:t xml:space="preserve"> </w:t>
      </w:r>
      <w:r>
        <w:t xml:space="preserve">- Countries with worse neonatal oxygen indicators should show higher neurodevelopmental disease burden</w:t>
      </w:r>
      <w:r>
        <w:t xml:space="preserve"> </w:t>
      </w:r>
      <w:r>
        <w:rPr>
          <w:i/>
          <w:iCs/>
        </w:rPr>
        <w:t xml:space="preserve">after</w:t>
      </w:r>
      <w:r>
        <w:t xml:space="preserve"> </w:t>
      </w:r>
      <w:r>
        <w:t xml:space="preserve">adjusting for diagnostic capacity</w:t>
      </w:r>
      <w:r>
        <w:t xml:space="preserve"> </w:t>
      </w:r>
      <w:r>
        <w:t xml:space="preserve">- The association should be strongest for conditions the model specifically predicts (CP, ASD, ADHD) and weakest for conditions not predicted (e.g., genetic syndromes)</w:t>
      </w:r>
      <w:r>
        <w:t xml:space="preserve"> </w:t>
      </w:r>
      <w:r>
        <w:t xml:space="preserve">- High-altitude countries should show excess neurodevelopmental burden beyond what socioeconomic factors explain</w:t>
      </w:r>
    </w:p>
    <w:bookmarkEnd w:id="24"/>
    <w:bookmarkStart w:id="25" w:name="the-diagnostic-ascertainment-problem"/>
    <w:p>
      <w:pPr>
        <w:pStyle w:val="Heading3"/>
      </w:pPr>
      <w:r>
        <w:t xml:space="preserve">5.4 The Diagnostic Ascertainment Problem</w:t>
      </w:r>
    </w:p>
    <w:p>
      <w:pPr>
        <w:pStyle w:val="FirstParagraph"/>
      </w:pPr>
      <w:r>
        <w:t xml:space="preserve">A critical challenge: LMIC countries diagnose fewer neurodevelopmental conditions than HICs, creating apparent lower prevalence that actually reflects diagnostic gaps. This confound works</w:t>
      </w:r>
      <w:r>
        <w:t xml:space="preserve"> </w:t>
      </w:r>
      <w:r>
        <w:rPr>
          <w:i/>
          <w:iCs/>
        </w:rPr>
        <w:t xml:space="preserve">against</w:t>
      </w:r>
      <w:r>
        <w:t xml:space="preserve"> </w:t>
      </w:r>
      <w:r>
        <w:t xml:space="preserve">the model’s prediction (making LMIC rates appear lower, not higher).</w:t>
      </w:r>
    </w:p>
    <w:p>
      <w:pPr>
        <w:pStyle w:val="BodyText"/>
      </w:pPr>
      <w:r>
        <w:t xml:space="preserve">Analytical approaches to address this:</w:t>
      </w:r>
      <w:r>
        <w:t xml:space="preserve"> </w:t>
      </w:r>
      <w:r>
        <w:t xml:space="preserve">- Use neonatal mortality rate as the primary exposure (more reliably measured than oxygen availability)</w:t>
      </w:r>
      <w:r>
        <w:t xml:space="preserve"> </w:t>
      </w:r>
      <w:r>
        <w:t xml:space="preserve">- Restrict analysis to conditions with more objective diagnostic criteria (CP &gt; ASD &gt; ADHD)</w:t>
      </w:r>
      <w:r>
        <w:t xml:space="preserve"> </w:t>
      </w:r>
      <w:r>
        <w:t xml:space="preserve">- Include diagnostic infrastructure quality as a covariate (physicians per capita, specialist density)</w:t>
      </w:r>
      <w:r>
        <w:t xml:space="preserve"> </w:t>
      </w:r>
      <w:r>
        <w:t xml:space="preserve">- Sensitivity analysis using institutionalisation rates or special education placement as alternative outcome measures</w:t>
      </w:r>
    </w:p>
    <w:p>
      <w:r>
        <w:pict>
          <v:rect style="width:0;height:1.5pt" o:hralign="center" o:hrstd="t" o:hr="t"/>
        </w:pict>
      </w:r>
    </w:p>
    <w:bookmarkEnd w:id="25"/>
    <w:bookmarkEnd w:id="26"/>
    <w:bookmarkStart w:id="29" w:name="the-three-phase-improvement-model"/>
    <w:p>
      <w:pPr>
        <w:pStyle w:val="Heading2"/>
      </w:pPr>
      <w:r>
        <w:t xml:space="preserve">6. The Three-Phase Improvement Model</w:t>
      </w:r>
    </w:p>
    <w:bookmarkStart w:id="27" w:name="predicted-transition-pattern"/>
    <w:p>
      <w:pPr>
        <w:pStyle w:val="Heading3"/>
      </w:pPr>
      <w:r>
        <w:t xml:space="preserve">6.1 Predicted Transition Pattern</w:t>
      </w:r>
    </w:p>
    <w:p>
      <w:pPr>
        <w:pStyle w:val="FirstParagraph"/>
      </w:pPr>
      <w:r>
        <w:t xml:space="preserve">As LMIC countries transition from absent to adequate neonatal oxygen management, the alignment model predicts a three-phase improvement curve:</w:t>
      </w:r>
    </w:p>
    <w:p>
      <w:pPr>
        <w:pStyle w:val="BodyText"/>
      </w:pPr>
      <w:r>
        <w:rPr>
          <w:b/>
          <w:bCs/>
        </w:rPr>
        <w:t xml:space="preserve">Phase 1 — Detection Without Treatment (Years 0-2):</w:t>
      </w:r>
      <w:r>
        <w:t xml:space="preserve"> </w:t>
      </w:r>
      <w:r>
        <w:t xml:space="preserve">Deployment of pulse oximetry reveals the true burden of neonatal hypoxia. Detected hypoxia rates increase sharply — not because hypoxia is increasing, but because it was previously invisible. This phase may paradoxically appear to worsen outcomes as ascertainment increases.</w:t>
      </w:r>
    </w:p>
    <w:p>
      <w:pPr>
        <w:pStyle w:val="BodyText"/>
      </w:pPr>
      <w:r>
        <w:rPr>
          <w:b/>
          <w:bCs/>
        </w:rPr>
        <w:t xml:space="preserve">Phase 2 — Treatment Implementation (Years 2-5):</w:t>
      </w:r>
      <w:r>
        <w:t xml:space="preserve"> </w:t>
      </w:r>
      <w:r>
        <w:t xml:space="preserve">As oxygen delivery systems follow pulse oximetry deployment, neonatal hypoxia begins to be treated. Neonatal mortality from respiratory causes declines. However, many infants who previously would have died now survive with partial hypoxic injury — potentially increasing the prevalence of neurodevelopmental conditions in the short term.</w:t>
      </w:r>
    </w:p>
    <w:p>
      <w:pPr>
        <w:pStyle w:val="BodyText"/>
      </w:pPr>
      <w:r>
        <w:rPr>
          <w:b/>
          <w:bCs/>
        </w:rPr>
        <w:t xml:space="preserve">Phase 3 — Prevention Normalisation (Years 5-15):</w:t>
      </w:r>
      <w:r>
        <w:t xml:space="preserve"> </w:t>
      </w:r>
      <w:r>
        <w:t xml:space="preserve">As oxygen management becomes routine, the cohort of hypoxia-exposed infants shrinks. Neurodevelopmental disease incidence declines in birth cohorts born under adequate oxygen management. The full effect requires one generation (15-20 years) to manifest fully.</w:t>
      </w:r>
    </w:p>
    <w:bookmarkEnd w:id="27"/>
    <w:bookmarkStart w:id="28" w:name="historical-precedent"/>
    <w:p>
      <w:pPr>
        <w:pStyle w:val="Heading3"/>
      </w:pPr>
      <w:r>
        <w:t xml:space="preserve">6.2 Historical Precedent</w:t>
      </w:r>
    </w:p>
    <w:p>
      <w:pPr>
        <w:pStyle w:val="FirstParagraph"/>
      </w:pPr>
      <w:r>
        <w:t xml:space="preserve">The Phase 2</w:t>
      </w:r>
      <w:r>
        <w:t xml:space="preserve"> </w:t>
      </w:r>
      <w:r>
        <w:t xml:space="preserve">“survival paradox”</w:t>
      </w:r>
      <w:r>
        <w:t xml:space="preserve"> </w:t>
      </w:r>
      <w:r>
        <w:t xml:space="preserve">has been documented in high-income countries: the introduction of NICUs dramatically reduced neonatal mortality but initially increased the prevalence of cerebral palsy and neurodevelopmental disability among survivors. Only with continued improvement in neonatal care quality did neurodevelopmental outcomes improve alongside survival.</w:t>
      </w:r>
    </w:p>
    <w:p>
      <w:pPr>
        <w:pStyle w:val="BodyText"/>
      </w:pPr>
      <w:r>
        <w:t xml:space="preserve">This precedent is critical for interpreting LMIC transition data. An increase in diagnosed neurodevelopmental conditions during Phases 1-2 would</w:t>
      </w:r>
      <w:r>
        <w:t xml:space="preserve"> </w:t>
      </w:r>
      <w:r>
        <w:rPr>
          <w:i/>
          <w:iCs/>
        </w:rPr>
        <w:t xml:space="preserve">support</w:t>
      </w:r>
      <w:r>
        <w:t xml:space="preserve"> </w:t>
      </w:r>
      <w:r>
        <w:t xml:space="preserve">the model — it reflects improved detection and survival, not increased true incidence per birth.</w:t>
      </w:r>
    </w:p>
    <w:p>
      <w:r>
        <w:pict>
          <v:rect style="width:0;height:1.5pt" o:hralign="center" o:hrstd="t" o:hr="t"/>
        </w:pict>
      </w:r>
    </w:p>
    <w:bookmarkEnd w:id="28"/>
    <w:bookmarkEnd w:id="29"/>
    <w:bookmarkStart w:id="34" w:name="existing-datasets-and-actionable-studies"/>
    <w:p>
      <w:pPr>
        <w:pStyle w:val="Heading2"/>
      </w:pPr>
      <w:r>
        <w:t xml:space="preserve">7. Existing Datasets and Actionable Studies</w:t>
      </w:r>
    </w:p>
    <w:bookmarkStart w:id="30" w:name="study-1-gbd-ecological-correlation"/>
    <w:p>
      <w:pPr>
        <w:pStyle w:val="Heading3"/>
      </w:pPr>
      <w:r>
        <w:t xml:space="preserve">7.1 Study 1: GBD Ecological Correlation</w:t>
      </w:r>
    </w:p>
    <w:p>
      <w:pPr>
        <w:pStyle w:val="FirstParagraph"/>
      </w:pPr>
      <w:r>
        <w:rPr>
          <w:b/>
          <w:bCs/>
        </w:rPr>
        <w:t xml:space="preserve">Data sources:</w:t>
      </w:r>
      <w:r>
        <w:t xml:space="preserve"> </w:t>
      </w:r>
      <w:r>
        <w:t xml:space="preserve">GBD 2019/2021 estimates, MOXY baseline data, WHO oxygen surveys</w:t>
      </w:r>
      <w:r>
        <w:t xml:space="preserve"> </w:t>
      </w:r>
      <w:r>
        <w:rPr>
          <w:b/>
          <w:bCs/>
        </w:rPr>
        <w:t xml:space="preserve">Analysis:</w:t>
      </w:r>
      <w:r>
        <w:t xml:space="preserve"> </w:t>
      </w:r>
      <w:r>
        <w:t xml:space="preserve">Multi-level regression of neurodevelopmental prevalence on oxygen availability indicators, adjusting for socioeconomic and diagnostic covariates</w:t>
      </w:r>
      <w:r>
        <w:t xml:space="preserve"> </w:t>
      </w:r>
      <w:r>
        <w:rPr>
          <w:b/>
          <w:bCs/>
        </w:rPr>
        <w:t xml:space="preserve">Timeline:</w:t>
      </w:r>
      <w:r>
        <w:t xml:space="preserve"> </w:t>
      </w:r>
      <w:r>
        <w:t xml:space="preserve">Feasible within 6-12 months using existing public datasets</w:t>
      </w:r>
      <w:r>
        <w:t xml:space="preserve"> </w:t>
      </w:r>
      <w:r>
        <w:rPr>
          <w:b/>
          <w:bCs/>
        </w:rPr>
        <w:t xml:space="preserve">Resources required:</w:t>
      </w:r>
      <w:r>
        <w:t xml:space="preserve"> </w:t>
      </w:r>
      <w:r>
        <w:t xml:space="preserve">Biostatistician, access to GBD collaborate platform</w:t>
      </w:r>
    </w:p>
    <w:bookmarkEnd w:id="30"/>
    <w:bookmarkStart w:id="31" w:name="study-2-nest360-beforeafter-cohort"/>
    <w:p>
      <w:pPr>
        <w:pStyle w:val="Heading3"/>
      </w:pPr>
      <w:r>
        <w:t xml:space="preserve">7.2 Study 2: NEST360 Before/After Cohort</w:t>
      </w:r>
    </w:p>
    <w:p>
      <w:pPr>
        <w:pStyle w:val="FirstParagraph"/>
      </w:pPr>
      <w:r>
        <w:rPr>
          <w:b/>
          <w:bCs/>
        </w:rPr>
        <w:t xml:space="preserve">Data sources:</w:t>
      </w:r>
      <w:r>
        <w:t xml:space="preserve"> </w:t>
      </w:r>
      <w:r>
        <w:t xml:space="preserve">NEST360 facility-level birth and outcome data, developmental screening at follow-up</w:t>
      </w:r>
      <w:r>
        <w:t xml:space="preserve"> </w:t>
      </w:r>
      <w:r>
        <w:rPr>
          <w:b/>
          <w:bCs/>
        </w:rPr>
        <w:t xml:space="preserve">Analysis:</w:t>
      </w:r>
      <w:r>
        <w:t xml:space="preserve"> </w:t>
      </w:r>
      <w:r>
        <w:t xml:space="preserve">Interrupted time series or difference-in-differences comparing developmental outcomes in birth cohorts before and after oxygen technology implementation</w:t>
      </w:r>
      <w:r>
        <w:t xml:space="preserve"> </w:t>
      </w:r>
      <w:r>
        <w:rPr>
          <w:b/>
          <w:bCs/>
        </w:rPr>
        <w:t xml:space="preserve">Timeline:</w:t>
      </w:r>
      <w:r>
        <w:t xml:space="preserve"> </w:t>
      </w:r>
      <w:r>
        <w:t xml:space="preserve">Earliest cohorts now 5-6 years old — developmental screening feasible now</w:t>
      </w:r>
      <w:r>
        <w:t xml:space="preserve"> </w:t>
      </w:r>
      <w:r>
        <w:rPr>
          <w:b/>
          <w:bCs/>
        </w:rPr>
        <w:t xml:space="preserve">Resources required:</w:t>
      </w:r>
      <w:r>
        <w:t xml:space="preserve"> </w:t>
      </w:r>
      <w:r>
        <w:t xml:space="preserve">Partnership with NEST360 investigators, developmental screening tools (ASQ-3, M-CHAT), trained assessors</w:t>
      </w:r>
    </w:p>
    <w:bookmarkEnd w:id="31"/>
    <w:bookmarkStart w:id="32" w:name="X6fd8b08636d5b0603e19c323e688c0964135680"/>
    <w:p>
      <w:pPr>
        <w:pStyle w:val="Heading3"/>
      </w:pPr>
      <w:r>
        <w:t xml:space="preserve">7.3 Study 3: Altitude-Stratified Developmental Assessment</w:t>
      </w:r>
    </w:p>
    <w:p>
      <w:pPr>
        <w:pStyle w:val="FirstParagraph"/>
      </w:pPr>
      <w:r>
        <w:rPr>
          <w:b/>
          <w:bCs/>
        </w:rPr>
        <w:t xml:space="preserve">Data sources:</w:t>
      </w:r>
      <w:r>
        <w:t xml:space="preserve"> </w:t>
      </w:r>
      <w:r>
        <w:t xml:space="preserve">Community health programmes in countries with significant altitude variation (Ethiopia, Peru, Bolivia, Nepal)</w:t>
      </w:r>
      <w:r>
        <w:t xml:space="preserve"> </w:t>
      </w:r>
      <w:r>
        <w:rPr>
          <w:b/>
          <w:bCs/>
        </w:rPr>
        <w:t xml:space="preserve">Analysis:</w:t>
      </w:r>
      <w:r>
        <w:t xml:space="preserve"> </w:t>
      </w:r>
      <w:r>
        <w:t xml:space="preserve">Cross-sectional developmental screening at high altitude vs. sea level, stratified by ancestral adaptation</w:t>
      </w:r>
      <w:r>
        <w:t xml:space="preserve"> </w:t>
      </w:r>
      <w:r>
        <w:rPr>
          <w:b/>
          <w:bCs/>
        </w:rPr>
        <w:t xml:space="preserve">Timeline:</w:t>
      </w:r>
      <w:r>
        <w:t xml:space="preserve"> </w:t>
      </w:r>
      <w:r>
        <w:t xml:space="preserve">12-18 months for screening and analysis</w:t>
      </w:r>
      <w:r>
        <w:t xml:space="preserve"> </w:t>
      </w:r>
      <w:r>
        <w:rPr>
          <w:b/>
          <w:bCs/>
        </w:rPr>
        <w:t xml:space="preserve">Resources required:</w:t>
      </w:r>
      <w:r>
        <w:t xml:space="preserve"> </w:t>
      </w:r>
      <w:r>
        <w:t xml:space="preserve">ASQ-3/M-CHAT deployment, community health worker training, statistical support</w:t>
      </w:r>
    </w:p>
    <w:bookmarkEnd w:id="32"/>
    <w:bookmarkStart w:id="33" w:name="study-4-guthrie-card-methylation-linkage"/>
    <w:p>
      <w:pPr>
        <w:pStyle w:val="Heading3"/>
      </w:pPr>
      <w:r>
        <w:t xml:space="preserve">7.4 Study 4: Guthrie Card Methylation Linkage</w:t>
      </w:r>
    </w:p>
    <w:p>
      <w:pPr>
        <w:pStyle w:val="FirstParagraph"/>
      </w:pPr>
      <w:r>
        <w:rPr>
          <w:b/>
          <w:bCs/>
        </w:rPr>
        <w:t xml:space="preserve">Data sources:</w:t>
      </w:r>
      <w:r>
        <w:t xml:space="preserve"> </w:t>
      </w:r>
      <w:r>
        <w:t xml:space="preserve">Archived newborn blood spots from LMIC biobanks (where available), linked to developmental follow-up data</w:t>
      </w:r>
      <w:r>
        <w:t xml:space="preserve"> </w:t>
      </w:r>
      <w:r>
        <w:rPr>
          <w:b/>
          <w:bCs/>
        </w:rPr>
        <w:t xml:space="preserve">Analysis:</w:t>
      </w:r>
      <w:r>
        <w:t xml:space="preserve"> </w:t>
      </w:r>
      <w:r>
        <w:t xml:space="preserve">EWAS comparing HIF3A and oxygen-related gene methylation between infants who later developed neurodevelopmental conditions versus controls</w:t>
      </w:r>
      <w:r>
        <w:t xml:space="preserve"> </w:t>
      </w:r>
      <w:r>
        <w:rPr>
          <w:b/>
          <w:bCs/>
        </w:rPr>
        <w:t xml:space="preserve">Timeline:</w:t>
      </w:r>
      <w:r>
        <w:t xml:space="preserve"> </w:t>
      </w:r>
      <w:r>
        <w:t xml:space="preserve">1-2 years if biobanks with linked developmental data exist</w:t>
      </w:r>
      <w:r>
        <w:t xml:space="preserve"> </w:t>
      </w:r>
      <w:r>
        <w:rPr>
          <w:b/>
          <w:bCs/>
        </w:rPr>
        <w:t xml:space="preserve">Resources required:</w:t>
      </w:r>
      <w:r>
        <w:t xml:space="preserve"> </w:t>
      </w:r>
      <w:r>
        <w:t xml:space="preserve">Methylation array access, bioinformatics support, ethics approval for archived sample use</w:t>
      </w:r>
    </w:p>
    <w:p>
      <w:r>
        <w:pict>
          <v:rect style="width:0;height:1.5pt" o:hralign="center" o:hrstd="t" o:hr="t"/>
        </w:pict>
      </w:r>
    </w:p>
    <w:bookmarkEnd w:id="33"/>
    <w:bookmarkEnd w:id="34"/>
    <w:bookmarkStart w:id="38" w:name="the-transition-hypothesis"/>
    <w:p>
      <w:pPr>
        <w:pStyle w:val="Heading2"/>
      </w:pPr>
      <w:r>
        <w:t xml:space="preserve">8. The Transition Hypothesis</w:t>
      </w:r>
    </w:p>
    <w:bookmarkStart w:id="35" w:name="statement"/>
    <w:p>
      <w:pPr>
        <w:pStyle w:val="Heading3"/>
      </w:pPr>
      <w:r>
        <w:t xml:space="preserve">8.1 Statement</w:t>
      </w:r>
    </w:p>
    <w:p>
      <w:pPr>
        <w:pStyle w:val="FirstParagraph"/>
      </w:pPr>
      <w:r>
        <w:t xml:space="preserve">We propose the</w:t>
      </w:r>
      <w:r>
        <w:t xml:space="preserve"> </w:t>
      </w:r>
      <w:r>
        <w:rPr>
          <w:b/>
          <w:bCs/>
        </w:rPr>
        <w:t xml:space="preserve">Oxygen Transition Hypothesis</w:t>
      </w:r>
      <w:r>
        <w:t xml:space="preserve">: the epidemiological transition in neonatal oxygen management that LMIC countries are currently undergoing will produce measurable reductions in developmental disease burden within one generation, analogous to the reductions in neonatal mortality already observed in HIC countries that underwent the same transition 30-50 years earlier.</w:t>
      </w:r>
    </w:p>
    <w:bookmarkEnd w:id="35"/>
    <w:bookmarkStart w:id="36" w:name="quantitative-predictions"/>
    <w:p>
      <w:pPr>
        <w:pStyle w:val="Heading3"/>
      </w:pPr>
      <w:r>
        <w:t xml:space="preserve">8.2 Quantitative Predictions</w:t>
      </w:r>
    </w:p>
    <w:p>
      <w:pPr>
        <w:pStyle w:val="FirstParagraph"/>
      </w:pPr>
      <w:r>
        <w:t xml:space="preserve">Based on the magnitude of the oxygen gap documented by MOXY and the effect sizes observed in HIC neonatal care improvements: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Predicted LMIC Reduction (per generation)</w:t>
            </w:r>
          </w:p>
        </w:tc>
        <w:tc>
          <w:tcPr/>
          <w:p>
            <w:pPr>
              <w:pStyle w:val="Compact"/>
            </w:pPr>
            <w:r>
              <w:t xml:space="preserve">Evidence Basis</w:t>
            </w:r>
          </w:p>
        </w:tc>
      </w:tr>
      <w:tr>
        <w:tc>
          <w:tcPr/>
          <w:p>
            <w:pPr>
              <w:pStyle w:val="Compact"/>
            </w:pPr>
            <w:r>
              <w:t xml:space="preserve">Cerebral palsy</w:t>
            </w:r>
          </w:p>
        </w:tc>
        <w:tc>
          <w:tcPr/>
          <w:p>
            <w:pPr>
              <w:pStyle w:val="Compact"/>
            </w:pPr>
            <w:r>
              <w:t xml:space="preserve">30-50% reduction</w:t>
            </w:r>
          </w:p>
        </w:tc>
        <w:tc>
          <w:tcPr/>
          <w:p>
            <w:pPr>
              <w:pStyle w:val="Compact"/>
            </w:pPr>
            <w:r>
              <w:t xml:space="preserve">HIC NICU improvement historical data</w:t>
            </w:r>
          </w:p>
        </w:tc>
      </w:tr>
      <w:tr>
        <w:tc>
          <w:tcPr/>
          <w:p>
            <w:pPr>
              <w:pStyle w:val="Compact"/>
            </w:pPr>
            <w:r>
              <w:t xml:space="preserve">Neonatal mortality (respiratory)</w:t>
            </w:r>
          </w:p>
        </w:tc>
        <w:tc>
          <w:tcPr/>
          <w:p>
            <w:pPr>
              <w:pStyle w:val="Compact"/>
            </w:pPr>
            <w:r>
              <w:t xml:space="preserve">50-70% reduction</w:t>
            </w:r>
          </w:p>
        </w:tc>
        <w:tc>
          <w:tcPr/>
          <w:p>
            <w:pPr>
              <w:pStyle w:val="Compact"/>
            </w:pPr>
            <w:r>
              <w:t xml:space="preserve">NEST360 preliminary data</w:t>
            </w:r>
          </w:p>
        </w:tc>
      </w:tr>
      <w:tr>
        <w:tc>
          <w:tcPr/>
          <w:p>
            <w:pPr>
              <w:pStyle w:val="Compact"/>
            </w:pPr>
            <w:r>
              <w:t xml:space="preserve">ASD prevalence</w:t>
            </w:r>
          </w:p>
        </w:tc>
        <w:tc>
          <w:tcPr/>
          <w:p>
            <w:pPr>
              <w:pStyle w:val="Compact"/>
            </w:pPr>
            <w:r>
              <w:t xml:space="preserve">10-25% reduction</w:t>
            </w:r>
          </w:p>
        </w:tc>
        <w:tc>
          <w:tcPr/>
          <w:p>
            <w:pPr>
              <w:pStyle w:val="Compact"/>
            </w:pPr>
            <w:r>
              <w:t xml:space="preserve">Alignment model prediction; moderate confidence</w:t>
            </w:r>
          </w:p>
        </w:tc>
      </w:tr>
      <w:tr>
        <w:tc>
          <w:tcPr/>
          <w:p>
            <w:pPr>
              <w:pStyle w:val="Compact"/>
            </w:pPr>
            <w:r>
              <w:t xml:space="preserve">ADHD prevalence</w:t>
            </w:r>
          </w:p>
        </w:tc>
        <w:tc>
          <w:tcPr/>
          <w:p>
            <w:pPr>
              <w:pStyle w:val="Compact"/>
            </w:pPr>
            <w:r>
              <w:t xml:space="preserve">5-15% reduction</w:t>
            </w:r>
          </w:p>
        </w:tc>
        <w:tc>
          <w:tcPr/>
          <w:p>
            <w:pPr>
              <w:pStyle w:val="Compact"/>
            </w:pPr>
            <w:r>
              <w:t xml:space="preserve">Alignment model prediction; lower confidence</w:t>
            </w:r>
          </w:p>
        </w:tc>
      </w:tr>
      <w:tr>
        <w:tc>
          <w:tcPr/>
          <w:p>
            <w:pPr>
              <w:pStyle w:val="Compact"/>
            </w:pPr>
            <w:r>
              <w:t xml:space="preserve">Childhood epilepsy</w:t>
            </w:r>
          </w:p>
        </w:tc>
        <w:tc>
          <w:tcPr/>
          <w:p>
            <w:pPr>
              <w:pStyle w:val="Compact"/>
            </w:pPr>
            <w:r>
              <w:t xml:space="preserve">15-30% reduction</w:t>
            </w:r>
          </w:p>
        </w:tc>
        <w:tc>
          <w:tcPr/>
          <w:p>
            <w:pPr>
              <w:pStyle w:val="Compact"/>
            </w:pPr>
            <w:r>
              <w:t xml:space="preserve">Birth asphyxia contribution well-documented</w:t>
            </w:r>
          </w:p>
        </w:tc>
      </w:tr>
      <w:tr>
        <w:tc>
          <w:tcPr/>
          <w:p>
            <w:pPr>
              <w:pStyle w:val="Compact"/>
            </w:pPr>
            <w:r>
              <w:t xml:space="preserve">Adult hypertension (in 40 years)</w:t>
            </w:r>
          </w:p>
        </w:tc>
        <w:tc>
          <w:tcPr/>
          <w:p>
            <w:pPr>
              <w:pStyle w:val="Compact"/>
            </w:pPr>
            <w:r>
              <w:t xml:space="preserve">Unknown</w:t>
            </w:r>
          </w:p>
        </w:tc>
        <w:tc>
          <w:tcPr/>
          <w:p>
            <w:pPr>
              <w:pStyle w:val="Compact"/>
            </w:pPr>
            <w:r>
              <w:t xml:space="preserve">Prediction exists but unmeasurable in study timeframe</w:t>
            </w:r>
          </w:p>
        </w:tc>
      </w:tr>
    </w:tbl>
    <w:bookmarkEnd w:id="36"/>
    <w:bookmarkStart w:id="37" w:name="falsification-criteria"/>
    <w:p>
      <w:pPr>
        <w:pStyle w:val="Heading3"/>
      </w:pPr>
      <w:r>
        <w:t xml:space="preserve">8.3 Falsification Criteria</w:t>
      </w:r>
    </w:p>
    <w:p>
      <w:pPr>
        <w:pStyle w:val="FirstParagraph"/>
      </w:pPr>
      <w:r>
        <w:t xml:space="preserve">The transition hypothesis would be</w:t>
      </w:r>
      <w:r>
        <w:t xml:space="preserve"> </w:t>
      </w:r>
      <w:r>
        <w:rPr>
          <w:b/>
          <w:bCs/>
        </w:rPr>
        <w:t xml:space="preserve">weakened</w:t>
      </w:r>
      <w:r>
        <w:t xml:space="preserve"> </w:t>
      </w:r>
      <w:r>
        <w:t xml:space="preserve">if:</w:t>
      </w:r>
      <w:r>
        <w:t xml:space="preserve"> </w:t>
      </w:r>
      <w:r>
        <w:t xml:space="preserve">- NEST360 post-implementation cohorts show no difference in developmental outcomes (after accounting for Phases 1-2)</w:t>
      </w:r>
      <w:r>
        <w:t xml:space="preserve"> </w:t>
      </w:r>
      <w:r>
        <w:t xml:space="preserve">- Altitude-stratified assessments show no altitude effect on neurodevelopmental prevalence</w:t>
      </w:r>
      <w:r>
        <w:t xml:space="preserve"> </w:t>
      </w:r>
      <w:r>
        <w:t xml:space="preserve">- GBD ecological analysis shows no correlation between oxygen indicators and neurodevelopmental burden after adjusting for diagnostic capacity</w:t>
      </w:r>
    </w:p>
    <w:p>
      <w:pPr>
        <w:pStyle w:val="BodyText"/>
      </w:pPr>
      <w:r>
        <w:t xml:space="preserve">The transition hypothesis would be</w:t>
      </w:r>
      <w:r>
        <w:t xml:space="preserve"> </w:t>
      </w:r>
      <w:r>
        <w:rPr>
          <w:b/>
          <w:bCs/>
        </w:rPr>
        <w:t xml:space="preserve">supported</w:t>
      </w:r>
      <w:r>
        <w:t xml:space="preserve"> </w:t>
      </w:r>
      <w:r>
        <w:t xml:space="preserve">if:</w:t>
      </w:r>
      <w:r>
        <w:t xml:space="preserve"> </w:t>
      </w:r>
      <w:r>
        <w:t xml:space="preserve">- Post-implementation cohorts show reduced developmental delay prevalence</w:t>
      </w:r>
      <w:r>
        <w:t xml:space="preserve"> </w:t>
      </w:r>
      <w:r>
        <w:t xml:space="preserve">- The reduction is specific to oxygen-sensitive conditions (CP, white matter injury) rather than general</w:t>
      </w:r>
      <w:r>
        <w:t xml:space="preserve"> </w:t>
      </w:r>
      <w:r>
        <w:t xml:space="preserve">- Altitude effects exist and are attenuated in ancestrally adapted populations</w:t>
      </w:r>
    </w:p>
    <w:p>
      <w:r>
        <w:pict>
          <v:rect style="width:0;height:1.5pt" o:hralign="center" o:hrstd="t" o:hr="t"/>
        </w:pict>
      </w:r>
    </w:p>
    <w:bookmarkEnd w:id="37"/>
    <w:bookmarkEnd w:id="38"/>
    <w:bookmarkStart w:id="42" w:name="ethical-and-practical-considerations"/>
    <w:p>
      <w:pPr>
        <w:pStyle w:val="Heading2"/>
      </w:pPr>
      <w:r>
        <w:t xml:space="preserve">9. Ethical and Practical Considerations</w:t>
      </w:r>
    </w:p>
    <w:bookmarkStart w:id="39" w:name="the-ethical-imperative"/>
    <w:p>
      <w:pPr>
        <w:pStyle w:val="Heading3"/>
      </w:pPr>
      <w:r>
        <w:t xml:space="preserve">9.1 The Ethical Imperative</w:t>
      </w:r>
    </w:p>
    <w:p>
      <w:pPr>
        <w:pStyle w:val="FirstParagraph"/>
      </w:pPr>
      <w:r>
        <w:t xml:space="preserve">If gestational and neonatal oxygen management reduces developmental disease burden, then the current absence of oxygen infrastructure in LMIC settings is not merely a neonatal mortality issue — it is a developmental disability prevention issue. Every year of delayed oxygen deployment produces a birth cohort with preventable developmental programming.</w:t>
      </w:r>
    </w:p>
    <w:p>
      <w:pPr>
        <w:pStyle w:val="BodyText"/>
      </w:pPr>
      <w:r>
        <w:t xml:space="preserve">This reframes oxygen infrastructure investment from a</w:t>
      </w:r>
      <w:r>
        <w:t xml:space="preserve"> </w:t>
      </w:r>
      <w:r>
        <w:t xml:space="preserve">“survival intervention”</w:t>
      </w:r>
      <w:r>
        <w:t xml:space="preserve"> </w:t>
      </w:r>
      <w:r>
        <w:t xml:space="preserve">to a</w:t>
      </w:r>
      <w:r>
        <w:t xml:space="preserve"> </w:t>
      </w:r>
      <w:r>
        <w:t xml:space="preserve">“lifespan intervention”</w:t>
      </w:r>
      <w:r>
        <w:t xml:space="preserve"> </w:t>
      </w:r>
      <w:r>
        <w:t xml:space="preserve">— the economic and human benefit extends across decades, not just the neonatal period.</w:t>
      </w:r>
    </w:p>
    <w:bookmarkEnd w:id="39"/>
    <w:bookmarkStart w:id="40" w:name="avoiding-diagnostic-colonialism"/>
    <w:p>
      <w:pPr>
        <w:pStyle w:val="Heading3"/>
      </w:pPr>
      <w:r>
        <w:t xml:space="preserve">9.2 Avoiding Diagnostic Colonialism</w:t>
      </w:r>
    </w:p>
    <w:p>
      <w:pPr>
        <w:pStyle w:val="FirstParagraph"/>
      </w:pPr>
      <w:r>
        <w:t xml:space="preserve">Deploying neurodevelopmental screening in LMIC settings raises the risk of imposing HIC diagnostic categories on populations with different developmental norms, expectations, and support systems. Study designs should:</w:t>
      </w:r>
      <w:r>
        <w:t xml:space="preserve"> </w:t>
      </w:r>
      <w:r>
        <w:t xml:space="preserve">- Use culturally validated screening instruments</w:t>
      </w:r>
      <w:r>
        <w:t xml:space="preserve"> </w:t>
      </w:r>
      <w:r>
        <w:t xml:space="preserve">- Include local clinician and community involvement in case identification</w:t>
      </w:r>
      <w:r>
        <w:t xml:space="preserve"> </w:t>
      </w:r>
      <w:r>
        <w:t xml:space="preserve">- Distinguish between screening for research purposes and clinical diagnosis</w:t>
      </w:r>
      <w:r>
        <w:t xml:space="preserve"> </w:t>
      </w:r>
      <w:r>
        <w:t xml:space="preserve">- Avoid pathologising variation that falls within cultural norms</w:t>
      </w:r>
    </w:p>
    <w:bookmarkEnd w:id="40"/>
    <w:bookmarkStart w:id="41" w:name="data-sovereignty"/>
    <w:p>
      <w:pPr>
        <w:pStyle w:val="Heading3"/>
      </w:pPr>
      <w:r>
        <w:t xml:space="preserve">9.3 Data Sovereignty</w:t>
      </w:r>
    </w:p>
    <w:p>
      <w:pPr>
        <w:pStyle w:val="FirstParagraph"/>
      </w:pPr>
      <w:r>
        <w:t xml:space="preserve">LMIC communities and health systems should retain ownership of data generated through these studies. Analysis frameworks should be developed collaboratively, not imposed by external researchers.</w:t>
      </w:r>
    </w:p>
    <w:p>
      <w:r>
        <w:pict>
          <v:rect style="width:0;height:1.5pt" o:hralign="center" o:hrstd="t" o:hr="t"/>
        </w:pict>
      </w:r>
    </w:p>
    <w:bookmarkEnd w:id="41"/>
    <w:bookmarkEnd w:id="42"/>
    <w:bookmarkStart w:id="45" w:name="the-broader-surveillance-vision"/>
    <w:p>
      <w:pPr>
        <w:pStyle w:val="Heading2"/>
      </w:pPr>
      <w:r>
        <w:t xml:space="preserve">10. The Broader Surveillance Vision</w:t>
      </w:r>
    </w:p>
    <w:bookmarkStart w:id="43" w:name="X91f3fe36bdb456ecb02c4f0df8824871ca86a0c"/>
    <w:p>
      <w:pPr>
        <w:pStyle w:val="Heading3"/>
      </w:pPr>
      <w:r>
        <w:t xml:space="preserve">10.1 A Global Oxygen-Development Monitoring System</w:t>
      </w:r>
    </w:p>
    <w:p>
      <w:pPr>
        <w:pStyle w:val="FirstParagraph"/>
      </w:pPr>
      <w:r>
        <w:t xml:space="preserve">If the alignment model is validated, the long-term vision is a global monitoring system that correlates oxygen management quality with developmental outcomes at population scale:</w:t>
      </w:r>
    </w:p>
    <w:p>
      <w:pPr>
        <w:pStyle w:val="BodyText"/>
      </w:pPr>
      <w:r>
        <w:rPr>
          <w:b/>
          <w:bCs/>
        </w:rPr>
        <w:t xml:space="preserve">Input metrics (collected at facility level):</w:t>
      </w:r>
      <w:r>
        <w:t xml:space="preserve"> </w:t>
      </w:r>
      <w:r>
        <w:t xml:space="preserve">- Pulse oximetry availability and utilisation rates</w:t>
      </w:r>
      <w:r>
        <w:t xml:space="preserve"> </w:t>
      </w:r>
      <w:r>
        <w:t xml:space="preserve">- Oxygen delivery system functionality</w:t>
      </w:r>
      <w:r>
        <w:t xml:space="preserve"> </w:t>
      </w:r>
      <w:r>
        <w:t xml:space="preserve">- Neonatal hypoxia detection and treatment rates</w:t>
      </w:r>
      <w:r>
        <w:t xml:space="preserve"> </w:t>
      </w:r>
      <w:r>
        <w:t xml:space="preserve">- Preeclampsia screening and management quality</w:t>
      </w:r>
      <w:r>
        <w:t xml:space="preserve"> </w:t>
      </w:r>
      <w:r>
        <w:t xml:space="preserve">- Maternal iron supplementation coverage</w:t>
      </w:r>
    </w:p>
    <w:p>
      <w:pPr>
        <w:pStyle w:val="BodyText"/>
      </w:pPr>
      <w:r>
        <w:rPr>
          <w:b/>
          <w:bCs/>
        </w:rPr>
        <w:t xml:space="preserve">Output metrics (collected at population level):</w:t>
      </w:r>
      <w:r>
        <w:t xml:space="preserve"> </w:t>
      </w:r>
      <w:r>
        <w:t xml:space="preserve">- Developmental screening results at 18 months, 3 years, and school entry</w:t>
      </w:r>
      <w:r>
        <w:t xml:space="preserve"> </w:t>
      </w:r>
      <w:r>
        <w:t xml:space="preserve">- Cerebral palsy registry data</w:t>
      </w:r>
      <w:r>
        <w:t xml:space="preserve"> </w:t>
      </w:r>
      <w:r>
        <w:t xml:space="preserve">- Special education placement rates</w:t>
      </w:r>
      <w:r>
        <w:t xml:space="preserve"> </w:t>
      </w:r>
      <w:r>
        <w:t xml:space="preserve">- Neonatal neuroimaging findings (where available)</w:t>
      </w:r>
    </w:p>
    <w:p>
      <w:pPr>
        <w:pStyle w:val="BodyText"/>
      </w:pPr>
      <w:r>
        <w:rPr>
          <w:b/>
          <w:bCs/>
        </w:rPr>
        <w:t xml:space="preserve">Linkage:</w:t>
      </w:r>
      <w:r>
        <w:t xml:space="preserve"> </w:t>
      </w:r>
      <w:r>
        <w:t xml:space="preserve">Facility-level oxygen metrics linked to population-level developmental outcomes by birth cohort and catchment area.</w:t>
      </w:r>
    </w:p>
    <w:bookmarkEnd w:id="43"/>
    <w:bookmarkStart w:id="44" w:name="integration-with-existing-programmes"/>
    <w:p>
      <w:pPr>
        <w:pStyle w:val="Heading3"/>
      </w:pPr>
      <w:r>
        <w:t xml:space="preserve">10.2 Integration with Existing Programmes</w:t>
      </w:r>
    </w:p>
    <w:p>
      <w:pPr>
        <w:pStyle w:val="FirstParagraph"/>
      </w:pPr>
      <w:r>
        <w:t xml:space="preserve">This monitoring system does not need to be built from scratch. It can integrate with:</w:t>
      </w:r>
      <w:r>
        <w:t xml:space="preserve"> </w:t>
      </w:r>
      <w:r>
        <w:t xml:space="preserve">-</w:t>
      </w:r>
      <w:r>
        <w:t xml:space="preserve"> </w:t>
      </w:r>
      <w:r>
        <w:rPr>
          <w:b/>
          <w:bCs/>
        </w:rPr>
        <w:t xml:space="preserve">NEST360</w:t>
      </w:r>
      <w:r>
        <w:t xml:space="preserve"> </w:t>
      </w:r>
      <w:r>
        <w:t xml:space="preserve">infrastructure (already tracking neonatal outcomes)</w:t>
      </w:r>
      <w:r>
        <w:t xml:space="preserve"> </w:t>
      </w:r>
      <w:r>
        <w:t xml:space="preserve">-</w:t>
      </w:r>
      <w:r>
        <w:t xml:space="preserve"> </w:t>
      </w:r>
      <w:r>
        <w:rPr>
          <w:b/>
          <w:bCs/>
        </w:rPr>
        <w:t xml:space="preserve">WHO Oxygen Systems</w:t>
      </w:r>
      <w:r>
        <w:t xml:space="preserve"> </w:t>
      </w:r>
      <w:r>
        <w:t xml:space="preserve">initiative (already assessing oxygen availability)</w:t>
      </w:r>
      <w:r>
        <w:t xml:space="preserve"> </w:t>
      </w:r>
      <w:r>
        <w:t xml:space="preserve">-</w:t>
      </w:r>
      <w:r>
        <w:t xml:space="preserve"> </w:t>
      </w:r>
      <w:r>
        <w:rPr>
          <w:b/>
          <w:bCs/>
        </w:rPr>
        <w:t xml:space="preserve">UNICEF MICS</w:t>
      </w:r>
      <w:r>
        <w:t xml:space="preserve"> </w:t>
      </w:r>
      <w:r>
        <w:t xml:space="preserve">(Multiple Indicator Cluster Surveys — already include developmental assessment modules)</w:t>
      </w:r>
      <w:r>
        <w:t xml:space="preserve"> </w:t>
      </w:r>
      <w:r>
        <w:t xml:space="preserve">-</w:t>
      </w:r>
      <w:r>
        <w:t xml:space="preserve"> </w:t>
      </w:r>
      <w:r>
        <w:rPr>
          <w:b/>
          <w:bCs/>
        </w:rPr>
        <w:t xml:space="preserve">GBD</w:t>
      </w:r>
      <w:r>
        <w:t xml:space="preserve"> </w:t>
      </w:r>
      <w:r>
        <w:t xml:space="preserve">estimation frameworks (already modelling neurodevelopmental prevalence)</w:t>
      </w:r>
    </w:p>
    <w:p>
      <w:pPr>
        <w:pStyle w:val="BodyText"/>
      </w:pPr>
      <w:r>
        <w:t xml:space="preserve">The additional requirement is linking these programmes — connecting oxygen supply data to developmental outcome data across the 0-6 year follow-up period.</w:t>
      </w:r>
    </w:p>
    <w:p>
      <w:r>
        <w:pict>
          <v:rect style="width:0;height:1.5pt" o:hralign="center" o:hrstd="t" o:hr="t"/>
        </w:pict>
      </w:r>
    </w:p>
    <w:bookmarkEnd w:id="44"/>
    <w:bookmarkEnd w:id="45"/>
    <w:bookmarkStart w:id="48" w:name="adversarial-stress-test"/>
    <w:p>
      <w:pPr>
        <w:pStyle w:val="Heading2"/>
      </w:pPr>
      <w:r>
        <w:t xml:space="preserve">11. Adversarial Stress Test</w:t>
      </w:r>
    </w:p>
    <w:bookmarkStart w:id="46" w:name="external-objections"/>
    <w:p>
      <w:pPr>
        <w:pStyle w:val="Heading3"/>
      </w:pPr>
      <w:r>
        <w:t xml:space="preserve">11.1 External Objections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Objection</w:t>
            </w:r>
          </w:p>
        </w:tc>
        <w:tc>
          <w:tcPr/>
          <w:p>
            <w:pPr>
              <w:pStyle w:val="Compact"/>
            </w:pPr>
            <w:r>
              <w:t xml:space="preserve">Severity</w:t>
            </w:r>
          </w:p>
        </w:tc>
        <w:tc>
          <w:tcPr/>
          <w:p>
            <w:pPr>
              <w:pStyle w:val="Compact"/>
            </w:pPr>
            <w:r>
              <w:t xml:space="preserve">Response</w:t>
            </w:r>
          </w:p>
        </w:tc>
      </w:tr>
      <w:tr>
        <w:tc>
          <w:tcPr/>
          <w:p>
            <w:pPr>
              <w:pStyle w:val="Compact"/>
            </w:pPr>
            <w:r>
              <w:t xml:space="preserve">“LMIC neurodevelopmental burden is driven by infection, malnutrition, and poverty — not oxygen”</w:t>
            </w:r>
          </w:p>
        </w:tc>
        <w:tc>
          <w:tcPr/>
          <w:p>
            <w:pPr>
              <w:pStyle w:val="Compact"/>
            </w:pPr>
            <w:r>
              <w:t xml:space="preserve">HIGH</w:t>
            </w:r>
          </w:p>
        </w:tc>
        <w:tc>
          <w:tcPr/>
          <w:p>
            <w:pPr>
              <w:pStyle w:val="Compact"/>
            </w:pPr>
            <w:r>
              <w:t xml:space="preserve">These factors co-exist and interact. The model does not deny their contribution but proposes that oxygen availability is an independent and underestimated risk factor. The altitude natural experiment controls for most socioeconomic confounders within the same population.</w:t>
            </w:r>
          </w:p>
        </w:tc>
      </w:tr>
      <w:tr>
        <w:tc>
          <w:tcPr/>
          <w:p>
            <w:pPr>
              <w:pStyle w:val="Compact"/>
            </w:pPr>
            <w:r>
              <w:t xml:space="preserve">“Ecological analyses cannot establish causation”</w:t>
            </w:r>
          </w:p>
        </w:tc>
        <w:tc>
          <w:tcPr/>
          <w:p>
            <w:pPr>
              <w:pStyle w:val="Compact"/>
            </w:pPr>
            <w:r>
              <w:t xml:space="preserve">HIGH</w:t>
            </w:r>
          </w:p>
        </w:tc>
        <w:tc>
          <w:tcPr/>
          <w:p>
            <w:pPr>
              <w:pStyle w:val="Compact"/>
            </w:pPr>
            <w:r>
              <w:t xml:space="preserve">Correct. The GBD analysis is hypothesis-generating, not confirmatory. Causation depends on the within-country longitudinal designs (NEST360, altitude comparison) and molecular layer (Guthrie card methylation).</w:t>
            </w:r>
          </w:p>
        </w:tc>
      </w:tr>
      <w:tr>
        <w:tc>
          <w:tcPr/>
          <w:p>
            <w:pPr>
              <w:pStyle w:val="Compact"/>
            </w:pPr>
            <w:r>
              <w:t xml:space="preserve">“Diagnostic ascertainment in LMICs is too poor to detect prevalence changes”</w:t>
            </w:r>
          </w:p>
        </w:tc>
        <w:tc>
          <w:tcPr/>
          <w:p>
            <w:pPr>
              <w:pStyle w:val="Compact"/>
            </w:pPr>
            <w:r>
              <w:t xml:space="preserve">HIGH</w:t>
            </w:r>
          </w:p>
        </w:tc>
        <w:tc>
          <w:tcPr/>
          <w:p>
            <w:pPr>
              <w:pStyle w:val="Compact"/>
            </w:pPr>
            <w:r>
              <w:t xml:space="preserve">This is legitimate. The model addresses it by (a) using conditions with more objective diagnosis (CP), (b) including diagnostic infrastructure as a covariate, and (c) using within-facility before/after comparisons where ascertainment methods are constant.</w:t>
            </w:r>
          </w:p>
        </w:tc>
      </w:tr>
      <w:tr>
        <w:tc>
          <w:tcPr/>
          <w:p>
            <w:pPr>
              <w:pStyle w:val="Compact"/>
            </w:pPr>
            <w:r>
              <w:t xml:space="preserve">“The three-phase model is unfalsifiable — you explain away any result”</w:t>
            </w:r>
          </w:p>
        </w:tc>
        <w:tc>
          <w:tcPr/>
          <w:p>
            <w:pPr>
              <w:pStyle w:val="Compact"/>
            </w:pPr>
            <w:r>
              <w:t xml:space="preserve">MODERATE</w:t>
            </w:r>
          </w:p>
        </w:tc>
        <w:tc>
          <w:tcPr/>
          <w:p>
            <w:pPr>
              <w:pStyle w:val="Compact"/>
            </w:pPr>
            <w:r>
              <w:t xml:space="preserve">The phases are temporally specific and make distinct predictions for each period. Phase 2 paradox (increased prevalence from survival) is bounded in time (2-5 years). If no improvement is seen after Phase 3 (&gt;10 years post-implementation), the model is weakened.</w:t>
            </w:r>
          </w:p>
        </w:tc>
      </w:tr>
      <w:tr>
        <w:tc>
          <w:tcPr/>
          <w:p>
            <w:pPr>
              <w:pStyle w:val="Compact"/>
            </w:pPr>
            <w:r>
              <w:t xml:space="preserve">“Altitude-adapted populations may have other genetic differences that explain developmental variation”</w:t>
            </w:r>
          </w:p>
        </w:tc>
        <w:tc>
          <w:tcPr/>
          <w:p>
            <w:pPr>
              <w:pStyle w:val="Compact"/>
            </w:pPr>
            <w:r>
              <w:t xml:space="preserve">MODERATE</w:t>
            </w:r>
          </w:p>
        </w:tc>
        <w:tc>
          <w:tcPr/>
          <w:p>
            <w:pPr>
              <w:pStyle w:val="Compact"/>
            </w:pPr>
            <w:r>
              <w:t xml:space="preserve">Multi-generational altitude adaptation involves changes in many pathways beyond HIF. However, the specific prediction — that the effect is mediated through HIF-pathway genes (EPAS1, EGLN1) — is testable through genotyping and Mendelian randomisation approaches.</w:t>
            </w:r>
          </w:p>
        </w:tc>
      </w:tr>
    </w:tbl>
    <w:bookmarkEnd w:id="46"/>
    <w:bookmarkStart w:id="47" w:name="self-identified-weaknesses"/>
    <w:p>
      <w:pPr>
        <w:pStyle w:val="Heading3"/>
      </w:pPr>
      <w:r>
        <w:t xml:space="preserve">11.2 Self-Identified Weaknesses</w:t>
      </w:r>
    </w:p>
    <w:p>
      <w:pPr>
        <w:numPr>
          <w:ilvl w:val="0"/>
          <w:numId w:val="1004"/>
        </w:numPr>
      </w:pPr>
      <w:r>
        <w:rPr>
          <w:b/>
          <w:bCs/>
        </w:rPr>
        <w:t xml:space="preserve">No LMIC-specific developmental cohort with linked oxygen data currently exists.</w:t>
      </w:r>
      <w:r>
        <w:t xml:space="preserve"> </w:t>
      </w:r>
      <w:r>
        <w:t xml:space="preserve">The NEST360 infrastructure is the closest approximation, but developmental follow-up was not a primary outcome. This means the most powerful study design requires prospective add-on to existing programmes.</w:t>
      </w:r>
    </w:p>
    <w:p>
      <w:pPr>
        <w:numPr>
          <w:ilvl w:val="0"/>
          <w:numId w:val="1004"/>
        </w:numPr>
      </w:pPr>
      <w:r>
        <w:rPr>
          <w:b/>
          <w:bCs/>
        </w:rPr>
        <w:t xml:space="preserve">Cultural variation in developmental norms</w:t>
      </w:r>
      <w:r>
        <w:t xml:space="preserve"> </w:t>
      </w:r>
      <w:r>
        <w:t xml:space="preserve">makes cross-country comparison problematic. A milestone that is</w:t>
      </w:r>
      <w:r>
        <w:t xml:space="preserve"> </w:t>
      </w:r>
      <w:r>
        <w:t xml:space="preserve">“delayed”</w:t>
      </w:r>
      <w:r>
        <w:t xml:space="preserve"> </w:t>
      </w:r>
      <w:r>
        <w:t xml:space="preserve">by HIC standards may be normative in a different cultural context.</w:t>
      </w:r>
    </w:p>
    <w:p>
      <w:pPr>
        <w:numPr>
          <w:ilvl w:val="0"/>
          <w:numId w:val="1004"/>
        </w:numPr>
      </w:pPr>
      <w:r>
        <w:rPr>
          <w:b/>
          <w:bCs/>
        </w:rPr>
        <w:t xml:space="preserve">The oxygen variable is never isolated.</w:t>
      </w:r>
      <w:r>
        <w:t xml:space="preserve"> </w:t>
      </w:r>
      <w:r>
        <w:t xml:space="preserve">In real-world LMIC settings, oxygen improvement co-occurs with general health system strengthening. Attributing developmental improvements specifically to oxygen requires designs that isolate this variable — which may not be feasible outside of the altitude comparison.</w:t>
      </w:r>
    </w:p>
    <w:p>
      <w:pPr>
        <w:numPr>
          <w:ilvl w:val="0"/>
          <w:numId w:val="1004"/>
        </w:numPr>
      </w:pPr>
      <w:r>
        <w:rPr>
          <w:b/>
          <w:bCs/>
        </w:rPr>
        <w:t xml:space="preserve">The timeline is long.</w:t>
      </w:r>
      <w:r>
        <w:t xml:space="preserve"> </w:t>
      </w:r>
      <w:r>
        <w:t xml:space="preserve">The alignment model’s predictions about developmental disease reduction require 5-15 years to test properly. Funding cycles and political attention spans may not accommodate this.</w:t>
      </w:r>
    </w:p>
    <w:p>
      <w:pPr>
        <w:numPr>
          <w:ilvl w:val="0"/>
          <w:numId w:val="1004"/>
        </w:numPr>
      </w:pPr>
      <w:r>
        <w:rPr>
          <w:b/>
          <w:bCs/>
        </w:rPr>
        <w:t xml:space="preserve">This paper proposes studies but does not present primary data.</w:t>
      </w:r>
      <w:r>
        <w:t xml:space="preserve"> </w:t>
      </w:r>
      <w:r>
        <w:t xml:space="preserve">It is a framework paper, not an empirical one. Its value depends entirely on whether the proposed studies are conducted.</w:t>
      </w:r>
    </w:p>
    <w:p>
      <w:r>
        <w:pict>
          <v:rect style="width:0;height:1.5pt" o:hralign="center" o:hrstd="t" o:hr="t"/>
        </w:pict>
      </w:r>
    </w:p>
    <w:bookmarkEnd w:id="47"/>
    <w:bookmarkEnd w:id="48"/>
    <w:bookmarkStart w:id="49" w:name="significance-statement"/>
    <w:p>
      <w:pPr>
        <w:pStyle w:val="Heading2"/>
      </w:pPr>
      <w:r>
        <w:t xml:space="preserve">12. Significance Statement</w:t>
      </w:r>
    </w:p>
    <w:p>
      <w:pPr>
        <w:pStyle w:val="FirstParagraph"/>
      </w:pPr>
      <w:r>
        <w:t xml:space="preserve">Low- and middle-income countries are currently undergoing a measurable transition in neonatal oxygen management. This transition constitutes a natural experiment of unprecedented scale — involving populations that collectively represent the majority of global births. If oxygen availability during the gestational and neonatal period programs developmental outcomes through HIF-1α-mediated mechanisms, then this transition should produce measurable changes in developmental disease burden within one generation. This paper provides the analytical framework for detecting those changes using four actionable study designs, all feasible with existing datasets and infrastructure. The stakes are substantial: if validated, oxygen infrastructure investment in LMICs would be recognised not only as a neonatal mortality intervention but as a lifespan developmental programming intervention — changing the economic calculus for global health investment by extending the benefit horizon from days to decades.</w:t>
      </w:r>
    </w:p>
    <w:p>
      <w:r>
        <w:pict>
          <v:rect style="width:0;height:1.5pt" o:hralign="center" o:hrstd="t" o:hr="t"/>
        </w:pict>
      </w:r>
    </w:p>
    <w:bookmarkEnd w:id="49"/>
    <w:bookmarkStart w:id="50" w:name="references"/>
    <w:p>
      <w:pPr>
        <w:pStyle w:val="Heading2"/>
      </w:pPr>
      <w:r>
        <w:t xml:space="preserve">References</w:t>
      </w:r>
    </w:p>
    <w:p>
      <w:pPr>
        <w:pStyle w:val="Compact"/>
        <w:numPr>
          <w:ilvl w:val="0"/>
          <w:numId w:val="1005"/>
        </w:numPr>
      </w:pPr>
      <w:r>
        <w:t xml:space="preserve">Barker DJ (2004).</w:t>
      </w:r>
      <w:r>
        <w:t xml:space="preserve"> </w:t>
      </w:r>
      <w:r>
        <w:t xml:space="preserve">“The developmental origins of adult disease.”</w:t>
      </w:r>
      <w:r>
        <w:t xml:space="preserve"> </w:t>
      </w:r>
      <w:r>
        <w:rPr>
          <w:i/>
          <w:iCs/>
        </w:rPr>
        <w:t xml:space="preserve">J Am Coll Nutr</w:t>
      </w:r>
      <w:r>
        <w:t xml:space="preserve">, 23:588S-595S.</w:t>
      </w:r>
    </w:p>
    <w:p>
      <w:pPr>
        <w:pStyle w:val="Compact"/>
        <w:numPr>
          <w:ilvl w:val="0"/>
          <w:numId w:val="1005"/>
        </w:numPr>
      </w:pPr>
      <w:r>
        <w:t xml:space="preserve">Carpenter JA (2026a).</w:t>
      </w:r>
      <w:r>
        <w:t xml:space="preserve"> </w:t>
      </w:r>
      <w:r>
        <w:t xml:space="preserve">“Gestational oxygen-timing alignment and oligodendrocyte progenitor cell maturation arrest: a unifying hypothesis for autism spectrum disorder.”</w:t>
      </w:r>
      <w:r>
        <w:t xml:space="preserve"> </w:t>
      </w:r>
      <w:r>
        <w:t xml:space="preserve">Unpublished preprint.</w:t>
      </w:r>
    </w:p>
    <w:p>
      <w:pPr>
        <w:pStyle w:val="Compact"/>
        <w:numPr>
          <w:ilvl w:val="0"/>
          <w:numId w:val="1005"/>
        </w:numPr>
      </w:pPr>
      <w:r>
        <w:t xml:space="preserve">Carpenter JA (2026b).</w:t>
      </w:r>
      <w:r>
        <w:t xml:space="preserve"> </w:t>
      </w:r>
      <w:r>
        <w:t xml:space="preserve">“A multi-organ gestational oxygen-timing alignment model.”</w:t>
      </w:r>
      <w:r>
        <w:t xml:space="preserve"> </w:t>
      </w:r>
      <w:r>
        <w:t xml:space="preserve">Preprint.</w:t>
      </w:r>
    </w:p>
    <w:p>
      <w:pPr>
        <w:pStyle w:val="Compact"/>
        <w:numPr>
          <w:ilvl w:val="0"/>
          <w:numId w:val="1005"/>
        </w:numPr>
      </w:pPr>
      <w:r>
        <w:t xml:space="preserve">Crump C et al. (2019).</w:t>
      </w:r>
      <w:r>
        <w:t xml:space="preserve"> </w:t>
      </w:r>
      <w:r>
        <w:t xml:space="preserve">“Preterm birth and risk of chronic kidney disease.”</w:t>
      </w:r>
      <w:r>
        <w:t xml:space="preserve"> </w:t>
      </w:r>
      <w:r>
        <w:rPr>
          <w:i/>
          <w:iCs/>
        </w:rPr>
        <w:t xml:space="preserve">BMJ</w:t>
      </w:r>
      <w:r>
        <w:t xml:space="preserve">, 365:l1346.</w:t>
      </w:r>
    </w:p>
    <w:p>
      <w:pPr>
        <w:pStyle w:val="Compact"/>
        <w:numPr>
          <w:ilvl w:val="0"/>
          <w:numId w:val="1005"/>
        </w:numPr>
      </w:pPr>
      <w:r>
        <w:t xml:space="preserve">Graham HR et al. (2019).</w:t>
      </w:r>
      <w:r>
        <w:t xml:space="preserve"> </w:t>
      </w:r>
      <w:r>
        <w:t xml:space="preserve">“Oxygen is a universal need: improving oxygen systems in hospitals in low-resource settings.”</w:t>
      </w:r>
      <w:r>
        <w:t xml:space="preserve"> </w:t>
      </w:r>
      <w:r>
        <w:rPr>
          <w:i/>
          <w:iCs/>
        </w:rPr>
        <w:t xml:space="preserve">J Glob Health</w:t>
      </w:r>
      <w:r>
        <w:t xml:space="preserve">, 9:010309.</w:t>
      </w:r>
    </w:p>
    <w:p>
      <w:pPr>
        <w:pStyle w:val="Compact"/>
        <w:numPr>
          <w:ilvl w:val="0"/>
          <w:numId w:val="1005"/>
        </w:numPr>
      </w:pPr>
      <w:r>
        <w:t xml:space="preserve">Graham HR et al. (2021).</w:t>
      </w:r>
      <w:r>
        <w:t xml:space="preserve"> </w:t>
      </w:r>
      <w:r>
        <w:t xml:space="preserve">“Pulse oximetry coverage and oxygen system functionality in primary health facilities in low-resource settings.”</w:t>
      </w:r>
      <w:r>
        <w:t xml:space="preserve"> </w:t>
      </w:r>
      <w:r>
        <w:rPr>
          <w:i/>
          <w:iCs/>
        </w:rPr>
        <w:t xml:space="preserve">Lancet Glob Health</w:t>
      </w:r>
      <w:r>
        <w:t xml:space="preserve">, 9:e1025-e1033.</w:t>
      </w:r>
    </w:p>
    <w:p>
      <w:pPr>
        <w:pStyle w:val="Compact"/>
        <w:numPr>
          <w:ilvl w:val="0"/>
          <w:numId w:val="1005"/>
        </w:numPr>
      </w:pPr>
      <w:r>
        <w:t xml:space="preserve">Julian CG (2011).</w:t>
      </w:r>
      <w:r>
        <w:t xml:space="preserve"> </w:t>
      </w:r>
      <w:r>
        <w:t xml:space="preserve">“High altitude during pregnancy.”</w:t>
      </w:r>
      <w:r>
        <w:t xml:space="preserve"> </w:t>
      </w:r>
      <w:r>
        <w:rPr>
          <w:i/>
          <w:iCs/>
        </w:rPr>
        <w:t xml:space="preserve">Clin Chest Med</w:t>
      </w:r>
      <w:r>
        <w:t xml:space="preserve">, 32:21-31.</w:t>
      </w:r>
    </w:p>
    <w:p>
      <w:pPr>
        <w:pStyle w:val="Compact"/>
        <w:numPr>
          <w:ilvl w:val="0"/>
          <w:numId w:val="1005"/>
        </w:numPr>
      </w:pPr>
      <w:r>
        <w:t xml:space="preserve">Julian CG (2017).</w:t>
      </w:r>
      <w:r>
        <w:t xml:space="preserve"> </w:t>
      </w:r>
      <w:r>
        <w:t xml:space="preserve">“Epigenomics and human adaptation to high altitude.”</w:t>
      </w:r>
      <w:r>
        <w:t xml:space="preserve"> </w:t>
      </w:r>
      <w:r>
        <w:rPr>
          <w:i/>
          <w:iCs/>
        </w:rPr>
        <w:t xml:space="preserve">J Appl Physiol</w:t>
      </w:r>
      <w:r>
        <w:t xml:space="preserve">, 123:1362-1370.</w:t>
      </w:r>
    </w:p>
    <w:p>
      <w:pPr>
        <w:pStyle w:val="Compact"/>
        <w:numPr>
          <w:ilvl w:val="0"/>
          <w:numId w:val="1005"/>
        </w:numPr>
      </w:pPr>
      <w:r>
        <w:t xml:space="preserve">Lawn JE et al. (2014).</w:t>
      </w:r>
      <w:r>
        <w:t xml:space="preserve"> </w:t>
      </w:r>
      <w:r>
        <w:t xml:space="preserve">“Every newborn: progress, priorities, and potential beyond survival.”</w:t>
      </w:r>
      <w:r>
        <w:t xml:space="preserve"> </w:t>
      </w:r>
      <w:r>
        <w:rPr>
          <w:i/>
          <w:iCs/>
        </w:rPr>
        <w:t xml:space="preserve">Lancet</w:t>
      </w:r>
      <w:r>
        <w:t xml:space="preserve">, 384:189-205.</w:t>
      </w:r>
    </w:p>
    <w:p>
      <w:pPr>
        <w:pStyle w:val="Compact"/>
        <w:numPr>
          <w:ilvl w:val="0"/>
          <w:numId w:val="1005"/>
        </w:numPr>
      </w:pPr>
      <w:r>
        <w:t xml:space="preserve">Moore LG et al. (2011).</w:t>
      </w:r>
      <w:r>
        <w:t xml:space="preserve"> </w:t>
      </w:r>
      <w:r>
        <w:t xml:space="preserve">“Maternal adaptation to high-altitude pregnancy.”</w:t>
      </w:r>
      <w:r>
        <w:t xml:space="preserve"> </w:t>
      </w:r>
      <w:r>
        <w:rPr>
          <w:i/>
          <w:iCs/>
        </w:rPr>
        <w:t xml:space="preserve">J Exp Biol</w:t>
      </w:r>
      <w:r>
        <w:t xml:space="preserve">, 214:3154-3160.</w:t>
      </w:r>
    </w:p>
    <w:p>
      <w:pPr>
        <w:pStyle w:val="Compact"/>
        <w:numPr>
          <w:ilvl w:val="0"/>
          <w:numId w:val="1005"/>
        </w:numPr>
      </w:pPr>
      <w:r>
        <w:t xml:space="preserve">NEST360 Alliance (2021).</w:t>
      </w:r>
      <w:r>
        <w:t xml:space="preserve"> </w:t>
      </w:r>
      <w:r>
        <w:t xml:space="preserve">“Building sustainable newborn care technology systems in sub-Saharan Africa.”</w:t>
      </w:r>
      <w:r>
        <w:t xml:space="preserve"> </w:t>
      </w:r>
      <w:r>
        <w:rPr>
          <w:i/>
          <w:iCs/>
        </w:rPr>
        <w:t xml:space="preserve">BMJ Glob Health</w:t>
      </w:r>
      <w:r>
        <w:t xml:space="preserve">, 6:e006381.</w:t>
      </w:r>
    </w:p>
    <w:p>
      <w:pPr>
        <w:pStyle w:val="Compact"/>
        <w:numPr>
          <w:ilvl w:val="0"/>
          <w:numId w:val="1005"/>
        </w:numPr>
      </w:pPr>
      <w:r>
        <w:t xml:space="preserve">Semenza GL (2003).</w:t>
      </w:r>
      <w:r>
        <w:t xml:space="preserve"> </w:t>
      </w:r>
      <w:r>
        <w:t xml:space="preserve">“Targeting HIF-1 for cancer therapy.”</w:t>
      </w:r>
      <w:r>
        <w:t xml:space="preserve"> </w:t>
      </w:r>
      <w:r>
        <w:rPr>
          <w:i/>
          <w:iCs/>
        </w:rPr>
        <w:t xml:space="preserve">Nat Rev Cancer</w:t>
      </w:r>
      <w:r>
        <w:t xml:space="preserve">, 3:721-732.</w:t>
      </w:r>
    </w:p>
    <w:p>
      <w:pPr>
        <w:pStyle w:val="Compact"/>
        <w:numPr>
          <w:ilvl w:val="0"/>
          <w:numId w:val="1005"/>
        </w:numPr>
      </w:pPr>
      <w:r>
        <w:t xml:space="preserve">WHO (2011).</w:t>
      </w:r>
      <w:r>
        <w:t xml:space="preserve"> </w:t>
      </w:r>
      <w:r>
        <w:rPr>
          <w:i/>
          <w:iCs/>
        </w:rPr>
        <w:t xml:space="preserve">WHO recommendations for prevention and treatment of pre-eclampsia and eclampsia.</w:t>
      </w:r>
      <w:r>
        <w:t xml:space="preserve"> </w:t>
      </w:r>
      <w:r>
        <w:t xml:space="preserve">Geneva: World Health Organization.</w:t>
      </w:r>
    </w:p>
    <w:p>
      <w:pPr>
        <w:pStyle w:val="Compact"/>
        <w:numPr>
          <w:ilvl w:val="0"/>
          <w:numId w:val="1005"/>
        </w:numPr>
      </w:pPr>
      <w:r>
        <w:t xml:space="preserve">WHO (2016).</w:t>
      </w:r>
      <w:r>
        <w:t xml:space="preserve"> </w:t>
      </w:r>
      <w:r>
        <w:rPr>
          <w:i/>
          <w:iCs/>
        </w:rPr>
        <w:t xml:space="preserve">Oxygen therapy for children: a manual for health workers.</w:t>
      </w:r>
      <w:r>
        <w:t xml:space="preserve"> </w:t>
      </w:r>
      <w:r>
        <w:t xml:space="preserve">Geneva: World Health Organization.</w:t>
      </w:r>
    </w:p>
    <w:p>
      <w:pPr>
        <w:pStyle w:val="Compact"/>
        <w:numPr>
          <w:ilvl w:val="0"/>
          <w:numId w:val="1005"/>
        </w:numPr>
      </w:pPr>
      <w:r>
        <w:t xml:space="preserve">GBD 2019 Diseases and Injuries Collaborators (2020).</w:t>
      </w:r>
      <w:r>
        <w:t xml:space="preserve"> </w:t>
      </w:r>
      <w:r>
        <w:t xml:space="preserve">“Global burden of 369 diseases and injuries in 204 countries.”</w:t>
      </w:r>
      <w:r>
        <w:t xml:space="preserve"> </w:t>
      </w:r>
      <w:r>
        <w:rPr>
          <w:i/>
          <w:iCs/>
        </w:rPr>
        <w:t xml:space="preserve">Lancet</w:t>
      </w:r>
      <w:r>
        <w:t xml:space="preserve">, 396:1204-1222.</w:t>
      </w:r>
    </w:p>
    <w:p>
      <w:pPr>
        <w:pStyle w:val="Compact"/>
        <w:numPr>
          <w:ilvl w:val="0"/>
          <w:numId w:val="1005"/>
        </w:numPr>
      </w:pPr>
      <w:r>
        <w:t xml:space="preserve">Berra E et al. (2003).</w:t>
      </w:r>
      <w:r>
        <w:t xml:space="preserve"> </w:t>
      </w:r>
      <w:r>
        <w:t xml:space="preserve">“HIF prolyl-hydroxylase 2 is the key oxygen sensor.”</w:t>
      </w:r>
      <w:r>
        <w:t xml:space="preserve"> </w:t>
      </w:r>
      <w:r>
        <w:rPr>
          <w:i/>
          <w:iCs/>
        </w:rPr>
        <w:t xml:space="preserve">EMBO J</w:t>
      </w:r>
      <w:r>
        <w:t xml:space="preserve">, 22:4082-4090.</w:t>
      </w:r>
    </w:p>
    <w:p>
      <w:pPr>
        <w:pStyle w:val="Compact"/>
        <w:numPr>
          <w:ilvl w:val="0"/>
          <w:numId w:val="1005"/>
        </w:numPr>
      </w:pPr>
      <w:r>
        <w:t xml:space="preserve">Huang LE et al. (1998).</w:t>
      </w:r>
      <w:r>
        <w:t xml:space="preserve"> </w:t>
      </w:r>
      <w:r>
        <w:t xml:space="preserve">“Regulation of HIF-1alpha is mediated by an O₂-dependent degradation domain.”</w:t>
      </w:r>
      <w:r>
        <w:t xml:space="preserve"> </w:t>
      </w:r>
      <w:r>
        <w:rPr>
          <w:i/>
          <w:iCs/>
        </w:rPr>
        <w:t xml:space="preserve">PNAS</w:t>
      </w:r>
      <w:r>
        <w:t xml:space="preserve">, 95:7987-7992.</w:t>
      </w:r>
    </w:p>
    <w:p>
      <w:pPr>
        <w:pStyle w:val="Compact"/>
        <w:numPr>
          <w:ilvl w:val="0"/>
          <w:numId w:val="1005"/>
        </w:numPr>
      </w:pPr>
      <w:r>
        <w:t xml:space="preserve">Simsek T et al. (2010).</w:t>
      </w:r>
      <w:r>
        <w:t xml:space="preserve"> </w:t>
      </w:r>
      <w:r>
        <w:t xml:space="preserve">“The distinct metabolic profile of hematopoietic stem cells reflects their location in a hypoxic niche.”</w:t>
      </w:r>
      <w:r>
        <w:t xml:space="preserve"> </w:t>
      </w:r>
      <w:r>
        <w:rPr>
          <w:i/>
          <w:iCs/>
        </w:rPr>
        <w:t xml:space="preserve">Cell Stem Cell</w:t>
      </w:r>
      <w:r>
        <w:t xml:space="preserve">, 7:380-390.</w:t>
      </w:r>
    </w:p>
    <w:p>
      <w:pPr>
        <w:pStyle w:val="Compact"/>
        <w:numPr>
          <w:ilvl w:val="0"/>
          <w:numId w:val="1005"/>
        </w:numPr>
      </w:pPr>
      <w:r>
        <w:t xml:space="preserve">Zar Kyaw T et al. (2019).</w:t>
      </w:r>
      <w:r>
        <w:t xml:space="preserve"> </w:t>
      </w:r>
      <w:r>
        <w:t xml:space="preserve">“HIF3A methylation in newborn blood spots.”</w:t>
      </w:r>
      <w:r>
        <w:t xml:space="preserve"> </w:t>
      </w:r>
      <w:r>
        <w:rPr>
          <w:i/>
          <w:iCs/>
        </w:rPr>
        <w:t xml:space="preserve">J Hum Genet</w:t>
      </w:r>
      <w:r>
        <w:t xml:space="preserve">, 64:795-801.</w:t>
      </w:r>
    </w:p>
    <w:p>
      <w:pPr>
        <w:pStyle w:val="Compact"/>
        <w:numPr>
          <w:ilvl w:val="0"/>
          <w:numId w:val="1005"/>
        </w:numPr>
      </w:pPr>
      <w:r>
        <w:t xml:space="preserve">Lifebox Foundation (2022).</w:t>
      </w:r>
      <w:r>
        <w:t xml:space="preserve"> </w:t>
      </w:r>
      <w:r>
        <w:t xml:space="preserve">“Pulse oximetry project: global impact report.”</w:t>
      </w:r>
      <w:r>
        <w:t xml:space="preserve"> </w:t>
      </w:r>
      <w:r>
        <w:t xml:space="preserve">Available at: lifebox.org.</w:t>
      </w:r>
    </w:p>
    <w:p>
      <w:pPr>
        <w:pStyle w:val="Compact"/>
        <w:numPr>
          <w:ilvl w:val="0"/>
          <w:numId w:val="1005"/>
        </w:numPr>
      </w:pPr>
      <w:r>
        <w:t xml:space="preserve">Giussani DA (2016).</w:t>
      </w:r>
      <w:r>
        <w:t xml:space="preserve"> </w:t>
      </w:r>
      <w:r>
        <w:t xml:space="preserve">“The fetal brain sparing response to hypoxia: physiological mechanisms.”</w:t>
      </w:r>
      <w:r>
        <w:t xml:space="preserve"> </w:t>
      </w:r>
      <w:r>
        <w:rPr>
          <w:i/>
          <w:iCs/>
        </w:rPr>
        <w:t xml:space="preserve">J Physiol</w:t>
      </w:r>
      <w:r>
        <w:t xml:space="preserve">, 594:1215-1230.</w:t>
      </w:r>
    </w:p>
    <w:p>
      <w:pPr>
        <w:pStyle w:val="Compact"/>
        <w:numPr>
          <w:ilvl w:val="0"/>
          <w:numId w:val="1005"/>
        </w:numPr>
      </w:pPr>
      <w:r>
        <w:t xml:space="preserve">Lee AC et al. (2013).</w:t>
      </w:r>
      <w:r>
        <w:t xml:space="preserve"> </w:t>
      </w:r>
      <w:r>
        <w:t xml:space="preserve">“Neonatal resuscitation and immediate newborn assessment and stimulation for the prevention of neonatal deaths.”</w:t>
      </w:r>
      <w:r>
        <w:t xml:space="preserve"> </w:t>
      </w:r>
      <w:r>
        <w:rPr>
          <w:i/>
          <w:iCs/>
        </w:rPr>
        <w:t xml:space="preserve">BMC Public Health</w:t>
      </w:r>
      <w:r>
        <w:t xml:space="preserve">, 13(Suppl 3):S12.</w:t>
      </w:r>
    </w:p>
    <w:p>
      <w:pPr>
        <w:pStyle w:val="Compact"/>
        <w:numPr>
          <w:ilvl w:val="0"/>
          <w:numId w:val="1005"/>
        </w:numPr>
      </w:pPr>
      <w:r>
        <w:t xml:space="preserve">Bhutta ZA et al. (2014).</w:t>
      </w:r>
      <w:r>
        <w:t xml:space="preserve"> </w:t>
      </w:r>
      <w:r>
        <w:t xml:space="preserve">“Can available interventions end preventable deaths in mothers, newborn babies, and stillbirths?”</w:t>
      </w:r>
      <w:r>
        <w:t xml:space="preserve"> </w:t>
      </w:r>
      <w:r>
        <w:rPr>
          <w:i/>
          <w:iCs/>
        </w:rPr>
        <w:t xml:space="preserve">Lancet</w:t>
      </w:r>
      <w:r>
        <w:t xml:space="preserve">, 384:347-370.</w:t>
      </w:r>
    </w:p>
    <w:p>
      <w:pPr>
        <w:pStyle w:val="Compact"/>
        <w:numPr>
          <w:ilvl w:val="0"/>
          <w:numId w:val="1005"/>
        </w:numPr>
      </w:pPr>
      <w:r>
        <w:t xml:space="preserve">Stanley FJ (1992).</w:t>
      </w:r>
      <w:r>
        <w:t xml:space="preserve"> </w:t>
      </w:r>
      <w:r>
        <w:t xml:space="preserve">“Survival and cerebral palsy in low birthweight infants: implications for perinatal care.”</w:t>
      </w:r>
      <w:r>
        <w:t xml:space="preserve"> </w:t>
      </w:r>
      <w:r>
        <w:rPr>
          <w:i/>
          <w:iCs/>
        </w:rPr>
        <w:t xml:space="preserve">Paediatric Perinatal Epidemiol</w:t>
      </w:r>
      <w:r>
        <w:t xml:space="preserve">, 6:298-310.</w:t>
      </w:r>
    </w:p>
    <w:p>
      <w:pPr>
        <w:pStyle w:val="Compact"/>
        <w:numPr>
          <w:ilvl w:val="0"/>
          <w:numId w:val="1005"/>
        </w:numPr>
      </w:pPr>
      <w:r>
        <w:t xml:space="preserve">Engle WA (2004).</w:t>
      </w:r>
      <w:r>
        <w:t xml:space="preserve"> </w:t>
      </w:r>
      <w:r>
        <w:t xml:space="preserve">“Surfactant-replacement therapy for respiratory distress in the preterm and term neonate.”</w:t>
      </w:r>
      <w:r>
        <w:t xml:space="preserve"> </w:t>
      </w:r>
      <w:r>
        <w:rPr>
          <w:i/>
          <w:iCs/>
        </w:rPr>
        <w:t xml:space="preserve">Pediatrics</w:t>
      </w:r>
      <w:r>
        <w:t xml:space="preserve">, 113:419-432.</w:t>
      </w:r>
    </w:p>
    <w:p>
      <w:r>
        <w:pict>
          <v:rect style="width:0;height:1.5pt" o:hralign="center" o:hrstd="t" o:hr="t"/>
        </w:pict>
      </w:r>
    </w:p>
    <w:p>
      <w:pPr>
        <w:pStyle w:val="FirstParagraph"/>
      </w:pPr>
      <w:r>
        <w:rPr>
          <w:i/>
          <w:iCs/>
        </w:rPr>
        <w:t xml:space="preserve">This preprint has not undergone peer review. The framework presented generates testable predictions using existing datasets and infrastructure. All citations are to peer-reviewed, PubMed-indexed publications or established institutional reports. No citation is fabricated.</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2026-03-05T02:09:55Z</dcterms:created>
  <dcterms:modified xsi:type="dcterms:W3CDTF">2026-03-05T02:09:55Z</dcterms:modified>
</cp:coreProperties>
</file>

<file path=docProps/custom.xml><?xml version="1.0" encoding="utf-8"?>
<Properties xmlns="http://schemas.openxmlformats.org/officeDocument/2006/custom-properties" xmlns:vt="http://schemas.openxmlformats.org/officeDocument/2006/docPropsVTypes"/>
</file>