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2514a3939dd4d5a591c0ffcd48e4da323b9c9f"/>
    <w:p>
      <w:pPr>
        <w:pStyle w:val="Heading1"/>
      </w:pPr>
      <w:r>
        <w:t xml:space="preserve">Gestational Hypoxia and Cancer Predisposition: The HIF-1α Epigenetic Priming Hypothesis</w:t>
      </w:r>
    </w:p>
    <w:p>
      <w:pPr>
        <w:pStyle w:val="FirstParagraph"/>
      </w:pPr>
      <w:r>
        <w:rPr>
          <w:b/>
          <w:bCs/>
        </w:rPr>
        <w:t xml:space="preserve">Jay Andrew Carpenter</w:t>
      </w:r>
      <w:r>
        <w:t xml:space="preserve"> </w:t>
      </w:r>
      <w:r>
        <w:t xml:space="preserve">Independent Researcher, Sydney, Australia</w:t>
      </w:r>
      <w:r>
        <w:t xml:space="preserve"> </w:t>
      </w:r>
      <w:r>
        <w:t xml:space="preserve">jay.andrew.carpenter@gmail.com | jay@secs.observer</w:t>
      </w:r>
    </w:p>
    <w:p>
      <w:pPr>
        <w:pStyle w:val="BodyText"/>
      </w:pPr>
      <w:r>
        <w:rPr>
          <w:b/>
          <w:bCs/>
        </w:rPr>
        <w:t xml:space="preserve">License:</w:t>
      </w:r>
      <w:r>
        <w:t xml:space="preserve"> </w:t>
      </w:r>
      <w:r>
        <w:t xml:space="preserve">CC-BY 4.0 International</w:t>
      </w:r>
    </w:p>
    <w:p>
      <w:r>
        <w:pict>
          <v:rect style="width:0;height:1.5pt" o:hralign="center" o:hrstd="t" o:hr="t"/>
        </w:pict>
      </w:r>
    </w:p>
    <w:bookmarkStart w:id="9" w:name="abstract"/>
    <w:p>
      <w:pPr>
        <w:pStyle w:val="Heading2"/>
      </w:pPr>
      <w:r>
        <w:t xml:space="preserve">Abstract</w:t>
      </w:r>
    </w:p>
    <w:p>
      <w:pPr>
        <w:pStyle w:val="FirstParagraph"/>
      </w:pPr>
      <w:r>
        <w:t xml:space="preserve">Cancer biology and developmental medicine share a common molecular regulator — hypoxia-inducible factor 1-alpha (HIF-1α) — yet the two fields have rarely intersected. This paper proposes that sustained gestational hypoxia, mediated through HIF-1α, creates persistent epigenetic marks at glycolytic, angiogenic, anti-apoptotic, and tumour-suppressor loci, effectively lowering the somatic threshold for malignant transformation in postnatal life. We term this the HIF Epigenetic Priming Hypothesis. The molecular bridge is direct: HIF-1α participates in all ten recognised hallmarks of cancer (Hanahan &amp; Weinberg, 2011), and its gestational activation during critical developmental windows produces the same pathway activations that oncology regards as acquired during tumourigenesis. We present five lines of evidence: (1) the mechanistic bridge between HIF-1α signalling and cancer hallmarks; (2) Von Hippel-Lindau (VHL) disease as a constitutive proof of concept; (3) the oligodendrocyte progenitor cell (OPC)-to-glioma lineage connection; (4) epidemiological associations between preeclampsia, intrauterine growth restriction (IUGR), prematurity, and cancer; and (5) the persistent epigenetic memory of gestational hypoxia, including miR-210 elevation and VHL promoter methylation. We introduce two novel constructs: the Two-Step Warburg Hypothesis (the glycolytic shift may be gestationally pre-programmed rather than somatically acquired) and the Extended Knudson Model (an epigenetic</w:t>
      </w:r>
      <w:r>
        <w:t xml:space="preserve"> </w:t>
      </w:r>
      <w:r>
        <w:t xml:space="preserve">“first hit”</w:t>
      </w:r>
      <w:r>
        <w:t xml:space="preserve"> </w:t>
      </w:r>
      <w:r>
        <w:t xml:space="preserve">from gestational HIF priming reduces the mutational burden required for malignant transformation). The hypothesis generates ten falsifiable predictions testable with existing Nordic birth-cancer registry linkages, archived cord blood biobanks, and Guthrie card methylation analysis. If validated, this framework would reposition gestational oxygen management as a cancer prevention strategy and provide a unifying mechanism connecting developmental programming to adult malignancy.</w:t>
      </w:r>
    </w:p>
    <w:p>
      <w:pPr>
        <w:pStyle w:val="BodyText"/>
      </w:pPr>
      <w:r>
        <w:rPr>
          <w:b/>
          <w:bCs/>
        </w:rPr>
        <w:t xml:space="preserve">Keywords:</w:t>
      </w:r>
      <w:r>
        <w:t xml:space="preserve"> </w:t>
      </w:r>
      <w:r>
        <w:t xml:space="preserve">HIF-1α, gestational hypoxia, cancer predisposition, epigenetic priming, Warburg effect, VHL, oligodendrocyte progenitor cells, glioma, preeclampsia, developmental origins of cancer, miR-210, Knudson model</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Hypoxia-inducible factor 1-alpha (HIF-1α) is among the most extensively studied transcription factors in cancer biology. Its role in promoting angiogenesis, glycolytic metabolism, invasion, metastasis, and immune evasion in established tumours has been documented across virtually every solid tumour type (Semenza, 2003). Simultaneously, HIF-1α is the master regulator of the fetal response to oxygen deprivation — orchestrating developmental adaptation to placental insufficiency, preeclampsia, and intrauterine growth restriction (Huang et al., 1998).</w:t>
      </w:r>
    </w:p>
    <w:p>
      <w:pPr>
        <w:pStyle w:val="BodyText"/>
      </w:pPr>
      <w:r>
        <w:t xml:space="preserve">Despite this molecular overlap, cancer biology and developmental medicine have remained remarkably separate disciplines. Oncologists study HIF-1α as a tumour-promoting factor in adult tissues. Obstetricians and neonatologists encounter HIF-1α activation as a consequence of gestational adversity. The possibility that the latter creates the conditions for the former has received limited systematic investigation.</w:t>
      </w:r>
    </w:p>
    <w:p>
      <w:pPr>
        <w:pStyle w:val="BodyText"/>
      </w:pPr>
      <w:r>
        <w:t xml:space="preserve">This paper bridges the two fields by proposing the</w:t>
      </w:r>
      <w:r>
        <w:t xml:space="preserve"> </w:t>
      </w:r>
      <w:r>
        <w:rPr>
          <w:b/>
          <w:bCs/>
        </w:rPr>
        <w:t xml:space="preserve">HIF Epigenetic Priming Hypothesis</w:t>
      </w:r>
      <w:r>
        <w:t xml:space="preserve">: sustained gestational HIF-1α activation creates persistent epigenetic modifications at cancer-relevant loci, effectively lowering the mutational threshold for malignant transformation across the lifespan. We present the mechanistic pathway, epidemiological evidence, specific cancer-type predictions, and a registry of falsifiable tests.</w:t>
      </w:r>
    </w:p>
    <w:p>
      <w:pPr>
        <w:pStyle w:val="BodyText"/>
      </w:pPr>
      <w:r>
        <w:t xml:space="preserve">This work extends the gestational oxygen-timing alignment model previously described (Carpenter, 2026a, 2026b), which attributed neurodevelopmental disorders to OPC maturation arrest during oxygen-sensitive windows. The present paper asks whether the same gestational insult — sustained HIF-1α activation — simultaneously primes for cancer through a parallel but distinct epigenetic mechanism.</w:t>
      </w:r>
    </w:p>
    <w:p>
      <w:r>
        <w:pict>
          <v:rect style="width:0;height:1.5pt" o:hralign="center" o:hrstd="t" o:hr="t"/>
        </w:pict>
      </w:r>
    </w:p>
    <w:bookmarkEnd w:id="10"/>
    <w:bookmarkStart w:id="11" w:name="X4b750580ddd4461c9a0026654d5842d6c5eb366"/>
    <w:p>
      <w:pPr>
        <w:pStyle w:val="Heading2"/>
      </w:pPr>
      <w:r>
        <w:t xml:space="preserve">2. The Molecular Bridge: HIF-1α and the Hallmarks of Cancer</w:t>
      </w:r>
    </w:p>
    <w:p>
      <w:pPr>
        <w:pStyle w:val="FirstParagraph"/>
      </w:pPr>
      <w:r>
        <w:t xml:space="preserve">Hanahan and Weinberg’s (2011) ten hallmarks of cancer provide the canonical framework for malignant transformation. HIF-1α participates directly in all 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Hallmark</w:t>
            </w:r>
          </w:p>
        </w:tc>
        <w:tc>
          <w:tcPr/>
          <w:p>
            <w:pPr>
              <w:pStyle w:val="Compact"/>
            </w:pPr>
            <w:r>
              <w:t xml:space="preserve">HIF-1α Mechanism</w:t>
            </w:r>
          </w:p>
        </w:tc>
        <w:tc>
          <w:tcPr/>
          <w:p>
            <w:pPr>
              <w:pStyle w:val="Compact"/>
            </w:pPr>
            <w:r>
              <w:t xml:space="preserve">Key Citations</w:t>
            </w:r>
          </w:p>
        </w:tc>
      </w:tr>
      <w:tr>
        <w:tc>
          <w:tcPr/>
          <w:p>
            <w:pPr>
              <w:pStyle w:val="Compact"/>
            </w:pPr>
            <w:r>
              <w:t xml:space="preserve">Sustained proliferative signalling</w:t>
            </w:r>
          </w:p>
        </w:tc>
        <w:tc>
          <w:tcPr/>
          <w:p>
            <w:pPr>
              <w:pStyle w:val="Compact"/>
            </w:pPr>
            <w:r>
              <w:t xml:space="preserve">HIF-1α upregulates IGF-2, TGF-α, and cyclin D1</w:t>
            </w:r>
          </w:p>
        </w:tc>
        <w:tc>
          <w:tcPr/>
          <w:p>
            <w:pPr>
              <w:pStyle w:val="Compact"/>
            </w:pPr>
            <w:r>
              <w:t xml:space="preserve">Semenza, 2003</w:t>
            </w:r>
          </w:p>
        </w:tc>
      </w:tr>
      <w:tr>
        <w:tc>
          <w:tcPr/>
          <w:p>
            <w:pPr>
              <w:pStyle w:val="Compact"/>
            </w:pPr>
            <w:r>
              <w:t xml:space="preserve">Evading growth suppressors</w:t>
            </w:r>
          </w:p>
        </w:tc>
        <w:tc>
          <w:tcPr/>
          <w:p>
            <w:pPr>
              <w:pStyle w:val="Compact"/>
            </w:pPr>
            <w:r>
              <w:t xml:space="preserve">Stabilises wild-type p53 but also activates p53-independent survival pathways</w:t>
            </w:r>
          </w:p>
        </w:tc>
        <w:tc>
          <w:tcPr/>
          <w:p>
            <w:pPr>
              <w:pStyle w:val="Compact"/>
            </w:pPr>
            <w:r>
              <w:t xml:space="preserve">An et al., 1998</w:t>
            </w:r>
          </w:p>
        </w:tc>
      </w:tr>
      <w:tr>
        <w:tc>
          <w:tcPr/>
          <w:p>
            <w:pPr>
              <w:pStyle w:val="Compact"/>
            </w:pPr>
            <w:r>
              <w:t xml:space="preserve">Resisting cell death</w:t>
            </w:r>
          </w:p>
        </w:tc>
        <w:tc>
          <w:tcPr/>
          <w:p>
            <w:pPr>
              <w:pStyle w:val="Compact"/>
            </w:pPr>
            <w:r>
              <w:t xml:space="preserve">Upregulates anti-apoptotic proteins survivin and BNIP3L</w:t>
            </w:r>
          </w:p>
        </w:tc>
        <w:tc>
          <w:tcPr/>
          <w:p>
            <w:pPr>
              <w:pStyle w:val="Compact"/>
            </w:pPr>
            <w:r>
              <w:t xml:space="preserve">Greijer &amp; van der Wall, 2004</w:t>
            </w:r>
          </w:p>
        </w:tc>
      </w:tr>
      <w:tr>
        <w:tc>
          <w:tcPr/>
          <w:p>
            <w:pPr>
              <w:pStyle w:val="Compact"/>
            </w:pPr>
            <w:r>
              <w:t xml:space="preserve">Enabling replicative immortality</w:t>
            </w:r>
          </w:p>
        </w:tc>
        <w:tc>
          <w:tcPr/>
          <w:p>
            <w:pPr>
              <w:pStyle w:val="Compact"/>
            </w:pPr>
            <w:r>
              <w:t xml:space="preserve">Activates hTERT (telomerase) transcription</w:t>
            </w:r>
          </w:p>
        </w:tc>
        <w:tc>
          <w:tcPr/>
          <w:p>
            <w:pPr>
              <w:pStyle w:val="Compact"/>
            </w:pPr>
            <w:r>
              <w:t xml:space="preserve">Nishi et al., 2004</w:t>
            </w:r>
          </w:p>
        </w:tc>
      </w:tr>
      <w:tr>
        <w:tc>
          <w:tcPr/>
          <w:p>
            <w:pPr>
              <w:pStyle w:val="Compact"/>
            </w:pPr>
            <w:r>
              <w:t xml:space="preserve">Inducing angiogenesis</w:t>
            </w:r>
          </w:p>
        </w:tc>
        <w:tc>
          <w:tcPr/>
          <w:p>
            <w:pPr>
              <w:pStyle w:val="Compact"/>
            </w:pPr>
            <w:r>
              <w:t xml:space="preserve">Directly activates VEGF transcription</w:t>
            </w:r>
          </w:p>
        </w:tc>
        <w:tc>
          <w:tcPr/>
          <w:p>
            <w:pPr>
              <w:pStyle w:val="Compact"/>
            </w:pPr>
            <w:r>
              <w:t xml:space="preserve">Forsythe et al., 1996</w:t>
            </w:r>
          </w:p>
        </w:tc>
      </w:tr>
      <w:tr>
        <w:tc>
          <w:tcPr/>
          <w:p>
            <w:pPr>
              <w:pStyle w:val="Compact"/>
            </w:pPr>
            <w:r>
              <w:t xml:space="preserve">Activating invasion and metastasis</w:t>
            </w:r>
          </w:p>
        </w:tc>
        <w:tc>
          <w:tcPr/>
          <w:p>
            <w:pPr>
              <w:pStyle w:val="Compact"/>
            </w:pPr>
            <w:r>
              <w:t xml:space="preserve">Upregulates TWIST, LOX, and MMP-2 through EMT programmes</w:t>
            </w:r>
          </w:p>
        </w:tc>
        <w:tc>
          <w:tcPr/>
          <w:p>
            <w:pPr>
              <w:pStyle w:val="Compact"/>
            </w:pPr>
            <w:r>
              <w:t xml:space="preserve">Yang et al., 2008</w:t>
            </w:r>
          </w:p>
        </w:tc>
      </w:tr>
      <w:tr>
        <w:tc>
          <w:tcPr/>
          <w:p>
            <w:pPr>
              <w:pStyle w:val="Compact"/>
            </w:pPr>
            <w:r>
              <w:t xml:space="preserve">Deregulating cellular energetics</w:t>
            </w:r>
          </w:p>
        </w:tc>
        <w:tc>
          <w:tcPr/>
          <w:p>
            <w:pPr>
              <w:pStyle w:val="Compact"/>
            </w:pPr>
            <w:r>
              <w:t xml:space="preserve">Master regulator of glycolytic gene transcription (Warburg effect)</w:t>
            </w:r>
          </w:p>
        </w:tc>
        <w:tc>
          <w:tcPr/>
          <w:p>
            <w:pPr>
              <w:pStyle w:val="Compact"/>
            </w:pPr>
            <w:r>
              <w:t xml:space="preserve">Warburg, 1956; Dang &amp; Semenza, 1999</w:t>
            </w:r>
          </w:p>
        </w:tc>
      </w:tr>
      <w:tr>
        <w:tc>
          <w:tcPr/>
          <w:p>
            <w:pPr>
              <w:pStyle w:val="Compact"/>
            </w:pPr>
            <w:r>
              <w:t xml:space="preserve">Avoiding immune destruction</w:t>
            </w:r>
          </w:p>
        </w:tc>
        <w:tc>
          <w:tcPr/>
          <w:p>
            <w:pPr>
              <w:pStyle w:val="Compact"/>
            </w:pPr>
            <w:r>
              <w:t xml:space="preserve">Upregulates PD-L1, recruits Tregs, drives M2 macrophage polarisation</w:t>
            </w:r>
          </w:p>
        </w:tc>
        <w:tc>
          <w:tcPr/>
          <w:p>
            <w:pPr>
              <w:pStyle w:val="Compact"/>
            </w:pPr>
            <w:r>
              <w:t xml:space="preserve">Barsoum et al., 2014</w:t>
            </w:r>
          </w:p>
        </w:tc>
      </w:tr>
      <w:tr>
        <w:tc>
          <w:tcPr/>
          <w:p>
            <w:pPr>
              <w:pStyle w:val="Compact"/>
            </w:pPr>
            <w:r>
              <w:t xml:space="preserve">Genome instability</w:t>
            </w:r>
          </w:p>
        </w:tc>
        <w:tc>
          <w:tcPr/>
          <w:p>
            <w:pPr>
              <w:pStyle w:val="Compact"/>
            </w:pPr>
            <w:r>
              <w:t xml:space="preserve">Suppresses DNA mismatch repair under chronic hypoxia</w:t>
            </w:r>
          </w:p>
        </w:tc>
        <w:tc>
          <w:tcPr/>
          <w:p>
            <w:pPr>
              <w:pStyle w:val="Compact"/>
            </w:pPr>
            <w:r>
              <w:t xml:space="preserve">Hammond et al., 2002</w:t>
            </w:r>
          </w:p>
        </w:tc>
      </w:tr>
      <w:tr>
        <w:tc>
          <w:tcPr/>
          <w:p>
            <w:pPr>
              <w:pStyle w:val="Compact"/>
            </w:pPr>
            <w:r>
              <w:t xml:space="preserve">Tumour-promoting inflammation</w:t>
            </w:r>
          </w:p>
        </w:tc>
        <w:tc>
          <w:tcPr/>
          <w:p>
            <w:pPr>
              <w:pStyle w:val="Compact"/>
            </w:pPr>
            <w:r>
              <w:t xml:space="preserve">Cross-activates NF-κB; recruits inflammatory myeloid cells</w:t>
            </w:r>
          </w:p>
        </w:tc>
        <w:tc>
          <w:tcPr/>
          <w:p>
            <w:pPr>
              <w:pStyle w:val="Compact"/>
            </w:pPr>
            <w:r>
              <w:t xml:space="preserve">Rius et al., 2008</w:t>
            </w:r>
          </w:p>
        </w:tc>
      </w:tr>
    </w:tbl>
    <w:p>
      <w:pPr>
        <w:pStyle w:val="BodyText"/>
      </w:pPr>
      <w:r>
        <w:t xml:space="preserve">No other single transcription factor touches all ten hallmarks. HIF-1α is not merely associated with cancer — it is mechanistically embedded in every recognised pathway to malignancy.</w:t>
      </w:r>
    </w:p>
    <w:p>
      <w:pPr>
        <w:pStyle w:val="BodyText"/>
      </w:pPr>
      <w:r>
        <w:t xml:space="preserve">The critical insight is that these same pathways are activated during sustained gestational hypoxia. A fetus exposed to chronic placental insufficiency, preeclampsia, or IUGR experiences prolonged HIF-1α stabilisation in developing tissues. The question is whether this activation leaves a lasting epigenetic trace.</w:t>
      </w:r>
    </w:p>
    <w:p>
      <w:r>
        <w:pict>
          <v:rect style="width:0;height:1.5pt" o:hralign="center" o:hrstd="t" o:hr="t"/>
        </w:pict>
      </w:r>
    </w:p>
    <w:bookmarkEnd w:id="11"/>
    <w:bookmarkStart w:id="15" w:name="the-two-step-warburg-hypothesis"/>
    <w:p>
      <w:pPr>
        <w:pStyle w:val="Heading2"/>
      </w:pPr>
      <w:r>
        <w:t xml:space="preserve">3. The Two-Step Warburg Hypothesis</w:t>
      </w:r>
    </w:p>
    <w:bookmarkStart w:id="12" w:name="the-orthodox-model"/>
    <w:p>
      <w:pPr>
        <w:pStyle w:val="Heading3"/>
      </w:pPr>
      <w:r>
        <w:t xml:space="preserve">3.1 The Orthodox Model</w:t>
      </w:r>
    </w:p>
    <w:p>
      <w:pPr>
        <w:pStyle w:val="FirstParagraph"/>
      </w:pPr>
      <w:r>
        <w:t xml:space="preserve">The Warburg effect — the preferential use of aerobic glycolysis by cancer cells — is one of the oldest observations in cancer biology (Warburg, 1956). Orthodox cancer biology regards the glycolytic shift as an acquired trait: normal cells undergo metabolic reprogramming during oncogenesis, switching from oxidative phosphorylation to glycolysis through accumulated mutations and epigenetic changes.</w:t>
      </w:r>
    </w:p>
    <w:bookmarkEnd w:id="12"/>
    <w:bookmarkStart w:id="13" w:name="the-proposed-revision"/>
    <w:p>
      <w:pPr>
        <w:pStyle w:val="Heading3"/>
      </w:pPr>
      <w:r>
        <w:t xml:space="preserve">3.2 The Proposed Revision</w:t>
      </w:r>
    </w:p>
    <w:p>
      <w:pPr>
        <w:pStyle w:val="FirstParagraph"/>
      </w:pPr>
      <w:r>
        <w:t xml:space="preserve">We propose an alternative: the</w:t>
      </w:r>
      <w:r>
        <w:t xml:space="preserve"> </w:t>
      </w:r>
      <w:r>
        <w:rPr>
          <w:b/>
          <w:bCs/>
        </w:rPr>
        <w:t xml:space="preserve">Two-Step Warburg Hypothesis</w:t>
      </w:r>
      <w:r>
        <w:t xml:space="preserve">.</w:t>
      </w:r>
    </w:p>
    <w:p>
      <w:pPr>
        <w:pStyle w:val="BodyText"/>
      </w:pPr>
      <w:r>
        <w:rPr>
          <w:b/>
          <w:bCs/>
        </w:rPr>
        <w:t xml:space="preserve">Step 1 — Gestational Priming:</w:t>
      </w:r>
      <w:r>
        <w:t xml:space="preserve"> </w:t>
      </w:r>
      <w:r>
        <w:t xml:space="preserve">During sustained fetal hypoxia, HIF-1α activates glycolytic gene transcription across developing tissues. This is the physiological response to oxygen deprivation. However, if the activation is prolonged, it creates persistent epigenetic marks at glycolytic gene promoters — methylation changes, histone modifications, and miRNA expression patterns that outlast the hypoxic event.</w:t>
      </w:r>
    </w:p>
    <w:p>
      <w:pPr>
        <w:pStyle w:val="BodyText"/>
      </w:pPr>
      <w:r>
        <w:rPr>
          <w:b/>
          <w:bCs/>
        </w:rPr>
        <w:t xml:space="preserve">Step 2 — Somatic Completion:</w:t>
      </w:r>
      <w:r>
        <w:t xml:space="preserve"> </w:t>
      </w:r>
      <w:r>
        <w:t xml:space="preserve">Decades later, a somatic event (mutation, carcinogen exposure, immune decline) provides the additional hit. But the cell that transforms is not metabolically neutral — it already carries a glycolytic bias from gestational programming. The Warburg switch is not acquired during oncogenesis; it is unmasked.</w:t>
      </w:r>
    </w:p>
    <w:bookmarkEnd w:id="13"/>
    <w:bookmarkStart w:id="14" w:name="implications"/>
    <w:p>
      <w:pPr>
        <w:pStyle w:val="Heading3"/>
      </w:pPr>
      <w:r>
        <w:t xml:space="preserve">3.3 Implications</w:t>
      </w:r>
    </w:p>
    <w:p>
      <w:pPr>
        <w:pStyle w:val="FirstParagraph"/>
      </w:pPr>
      <w:r>
        <w:t xml:space="preserve">If correct, the Two-Step Warburg Hypothesis predicts:</w:t>
      </w:r>
    </w:p>
    <w:p>
      <w:pPr>
        <w:pStyle w:val="Compact"/>
        <w:numPr>
          <w:ilvl w:val="0"/>
          <w:numId w:val="1001"/>
        </w:numPr>
      </w:pPr>
      <w:r>
        <w:rPr>
          <w:b/>
          <w:bCs/>
        </w:rPr>
        <w:t xml:space="preserve">Tumours from gestationally hypoxic individuals should show a pre-existing glycolytic bias</w:t>
      </w:r>
      <w:r>
        <w:t xml:space="preserve"> </w:t>
      </w:r>
      <w:r>
        <w:t xml:space="preserve">— higher basal glycolytic gene expression and methylation patterns consistent with prior HIF activation, even in early-stage tumours.</w:t>
      </w:r>
    </w:p>
    <w:p>
      <w:pPr>
        <w:pStyle w:val="Compact"/>
        <w:numPr>
          <w:ilvl w:val="0"/>
          <w:numId w:val="1001"/>
        </w:numPr>
      </w:pPr>
      <w:r>
        <w:rPr>
          <w:b/>
          <w:bCs/>
        </w:rPr>
        <w:t xml:space="preserve">These tumours should require fewer somatic mutations</w:t>
      </w:r>
      <w:r>
        <w:t xml:space="preserve"> </w:t>
      </w:r>
      <w:r>
        <w:t xml:space="preserve">to achieve malignant transformation, because one major cancer hallmark (metabolic reprogramming) was already in place.</w:t>
      </w:r>
    </w:p>
    <w:p>
      <w:pPr>
        <w:pStyle w:val="Compact"/>
        <w:numPr>
          <w:ilvl w:val="0"/>
          <w:numId w:val="1001"/>
        </w:numPr>
      </w:pPr>
      <w:r>
        <w:rPr>
          <w:b/>
          <w:bCs/>
        </w:rPr>
        <w:t xml:space="preserve">Cancer onset should be earlier</w:t>
      </w:r>
      <w:r>
        <w:t xml:space="preserve"> </w:t>
      </w:r>
      <w:r>
        <w:t xml:space="preserve">in gestationally primed individuals, all else being equal, because fewer hits are needed.</w:t>
      </w:r>
    </w:p>
    <w:p>
      <w:pPr>
        <w:pStyle w:val="FirstParagraph"/>
      </w:pPr>
      <w:r>
        <w:t xml:space="preserve">This is testable by comparing the somatic mutational burden and glycolytic gene methylation profiles of tumours from PE-exposed versus non-exposed individuals using TCGA/ICGC datasets linked to birth records.</w:t>
      </w:r>
    </w:p>
    <w:p>
      <w:r>
        <w:pict>
          <v:rect style="width:0;height:1.5pt" o:hralign="center" o:hrstd="t" o:hr="t"/>
        </w:pict>
      </w:r>
    </w:p>
    <w:bookmarkEnd w:id="14"/>
    <w:bookmarkEnd w:id="15"/>
    <w:bookmarkStart w:id="16" w:name="vhl-disease-as-proof-of-concept"/>
    <w:p>
      <w:pPr>
        <w:pStyle w:val="Heading2"/>
      </w:pPr>
      <w:r>
        <w:t xml:space="preserve">4. VHL Disease as Proof of Concept</w:t>
      </w:r>
    </w:p>
    <w:p>
      <w:pPr>
        <w:pStyle w:val="FirstParagraph"/>
      </w:pPr>
      <w:r>
        <w:t xml:space="preserve">Von Hippel-Lindau (VHL) disease provides the clearest proof of concept for the HIF priming hypothesis (Gossage et al., 2015). VHL protein is the primary negative regulator of HIF-1α — under normoxic conditions, VHL targets hydroxylated HIF-1α for proteasomal degradation (Maxwell et al., 1999; Jaakkola et al., 2001; Ivan et al., 2001).</w:t>
      </w:r>
    </w:p>
    <w:p>
      <w:pPr>
        <w:pStyle w:val="BodyText"/>
      </w:pPr>
      <w:r>
        <w:rPr>
          <w:b/>
          <w:bCs/>
        </w:rPr>
        <w:t xml:space="preserve">Germline VHL loss</w:t>
      </w:r>
      <w:r>
        <w:t xml:space="preserve"> </w:t>
      </w:r>
      <w:r>
        <w:t xml:space="preserve">results in constitutive HIF-1α stabilisation and invariably produces cancer:</w:t>
      </w:r>
      <w:r>
        <w:t xml:space="preserve"> </w:t>
      </w:r>
      <w:r>
        <w:t xml:space="preserve">- Clear cell renal cell carcinoma (ccRCC)</w:t>
      </w:r>
      <w:r>
        <w:t xml:space="preserve"> </w:t>
      </w:r>
      <w:r>
        <w:t xml:space="preserve">- Haemangioblastoma (CNS and retinal)</w:t>
      </w:r>
      <w:r>
        <w:t xml:space="preserve"> </w:t>
      </w:r>
      <w:r>
        <w:t xml:space="preserve">- Phaeochromocytoma</w:t>
      </w:r>
      <w:r>
        <w:t xml:space="preserve"> </w:t>
      </w:r>
      <w:r>
        <w:t xml:space="preserve">- Pancreatic neuroendocrine tumours</w:t>
      </w:r>
    </w:p>
    <w:p>
      <w:pPr>
        <w:pStyle w:val="BodyText"/>
      </w:pPr>
      <w:r>
        <w:t xml:space="preserve">All VHL-associated cancers are characterised by hypervascularity and aerobic glycolysis — the downstream consequences of unopposed HIF-1α activity.</w:t>
      </w:r>
    </w:p>
    <w:p>
      <w:pPr>
        <w:pStyle w:val="BodyText"/>
      </w:pPr>
      <w:r>
        <w:rPr>
          <w:b/>
          <w:bCs/>
        </w:rPr>
        <w:t xml:space="preserve">Sporadic ccRCC mirrors this mechanism.</w:t>
      </w:r>
      <w:r>
        <w:t xml:space="preserve"> </w:t>
      </w:r>
      <w:r>
        <w:t xml:space="preserve">In approximately 80% of sporadic ccRCC cases, VHL function is lost through somatic mutation (~50%) or promoter methylation (~30%) (Nickerson et al., 2008; Herman et al., 1994). The methylation-driven cases are particularly relevant: they demonstrate that epigenetic silencing of VHL — without genetic mutation — is sufficient to drive HIF-mediated cancer.</w:t>
      </w:r>
    </w:p>
    <w:p>
      <w:pPr>
        <w:pStyle w:val="BodyText"/>
      </w:pPr>
      <w:r>
        <w:rPr>
          <w:b/>
          <w:bCs/>
        </w:rPr>
        <w:t xml:space="preserve">The gestational priming hypothesis proposes that sustained fetal HIF-1α activation creates a partial, tissue-specific version of the VHL disease phenotype through epigenetic rather than genetic means.</w:t>
      </w:r>
      <w:r>
        <w:t xml:space="preserve"> </w:t>
      </w:r>
      <w:r>
        <w:t xml:space="preserve">The HIF activation is not constitutive (as in germline VHL loss) but is persistent enough to alter the epigenetic landscape at cancer-relevant loci. This creates a tissue carrying some of the molecular features of VHL disease — elevated glycolytic gene expression, pro-angiogenic programming, anti-apoptotic bias — without any VHL gene mutation.</w:t>
      </w:r>
    </w:p>
    <w:p>
      <w:r>
        <w:pict>
          <v:rect style="width:0;height:1.5pt" o:hralign="center" o:hrstd="t" o:hr="t"/>
        </w:pict>
      </w:r>
    </w:p>
    <w:bookmarkEnd w:id="16"/>
    <w:bookmarkStart w:id="20" w:name="the-opc-glioma-lineage-connection"/>
    <w:p>
      <w:pPr>
        <w:pStyle w:val="Heading2"/>
      </w:pPr>
      <w:r>
        <w:t xml:space="preserve">5. The OPC-Glioma Lineage Connection</w:t>
      </w:r>
    </w:p>
    <w:bookmarkStart w:id="17" w:name="opcs-as-a-cell-of-origin-for-gliomas"/>
    <w:p>
      <w:pPr>
        <w:pStyle w:val="Heading3"/>
      </w:pPr>
      <w:r>
        <w:t xml:space="preserve">5.1 OPCs as a Cell of Origin for Gliomas</w:t>
      </w:r>
    </w:p>
    <w:p>
      <w:pPr>
        <w:pStyle w:val="FirstParagraph"/>
      </w:pPr>
      <w:r>
        <w:t xml:space="preserve">Three landmark studies have established that oligodendrocyte progenitor cells (OPCs) are a cell of origin for gliomas:</w:t>
      </w:r>
      <w:r>
        <w:t xml:space="preserve"> </w:t>
      </w:r>
      <w:r>
        <w:t xml:space="preserve">- Liu et al. (2011) demonstrated using mosaic analysis with double markers that OPCs give rise to gliomas in mouse models.</w:t>
      </w:r>
      <w:r>
        <w:t xml:space="preserve"> </w:t>
      </w:r>
      <w:r>
        <w:t xml:space="preserve">- Lindberg et al. (2009) showed that oligodendrocyte progenitor cells can act as the cell of origin for experimental glioma.</w:t>
      </w:r>
      <w:r>
        <w:t xml:space="preserve"> </w:t>
      </w:r>
      <w:r>
        <w:t xml:space="preserve">- Galvao et al. (2014) demonstrated transformation of quiescent adult OPCs into malignant glioma.</w:t>
      </w:r>
    </w:p>
    <w:bookmarkEnd w:id="17"/>
    <w:bookmarkStart w:id="18" w:name="the-idh-glioma-connection"/>
    <w:p>
      <w:pPr>
        <w:pStyle w:val="Heading3"/>
      </w:pPr>
      <w:r>
        <w:t xml:space="preserve">5.2 The IDH-Glioma Connection</w:t>
      </w:r>
    </w:p>
    <w:p>
      <w:pPr>
        <w:pStyle w:val="FirstParagraph"/>
      </w:pPr>
      <w:r>
        <w:t xml:space="preserve">IDH1 and IDH2 mutations are found in &gt;70% of grade II-III gliomas and secondary glioblastomas (Yan et al., 2009). Mutant IDH produces 2-hydroxyglutarate (2-HG), which inhibits TET enzymes and α-ketoglutarate-dependent dioxygenases — including the PHD enzymes that regulate HIF-1α degradation. This creates a state of</w:t>
      </w:r>
      <w:r>
        <w:t xml:space="preserve"> </w:t>
      </w:r>
      <w:r>
        <w:rPr>
          <w:b/>
          <w:bCs/>
        </w:rPr>
        <w:t xml:space="preserve">pseudohypoxia</w:t>
      </w:r>
      <w:r>
        <w:t xml:space="preserve">: HIF-1α stabilisation without actual oxygen deficiency.</w:t>
      </w:r>
    </w:p>
    <w:p>
      <w:pPr>
        <w:pStyle w:val="BodyText"/>
      </w:pPr>
      <w:r>
        <w:t xml:space="preserve">This mechanism is directly relevant because the alignment model describes the same pseudohypoxic state occurring during gestational iron deficiency. Iron is the essential cofactor for PHD2, the primary oxygen sensor that hydroxylates HIF-1α for VHL-mediated degradation (Berra et al., 2003). When iron is unavailable — as in maternal anaemia — PHD2 cannot function, and HIF-1α stabilises even at normal oxygen tensions.</w:t>
      </w:r>
    </w:p>
    <w:bookmarkEnd w:id="18"/>
    <w:bookmarkStart w:id="19" w:name="the-specific-prediction"/>
    <w:p>
      <w:pPr>
        <w:pStyle w:val="Heading3"/>
      </w:pPr>
      <w:r>
        <w:t xml:space="preserve">5.3 The Specific Prediction</w:t>
      </w:r>
    </w:p>
    <w:p>
      <w:pPr>
        <w:pStyle w:val="FirstParagraph"/>
      </w:pPr>
      <w:r>
        <w:t xml:space="preserve">The alignment model predicts that gestational hypoxia during weeks 28-36 — the critical window for OPC maturation — arrests OPC differentiation. These arrested OPCs persist into adulthood as proliferation-competent progenitor cells carrying HIF epigenetic marks. The same arrested OPCs that contribute to white matter injury in childhood are the precursor pool from which gliomas could emerge decades later.</w:t>
      </w:r>
    </w:p>
    <w:p>
      <w:pPr>
        <w:pStyle w:val="BodyText"/>
      </w:pPr>
      <w:r>
        <w:rPr>
          <w:b/>
          <w:bCs/>
        </w:rPr>
        <w:t xml:space="preserve">Prediction:</w:t>
      </w:r>
      <w:r>
        <w:t xml:space="preserve"> </w:t>
      </w:r>
      <w:r>
        <w:t xml:space="preserve">Oligodendroglioma incidence should be enriched in individuals with documented late gestational hypoxia, particularly those with white matter injury detectable on neonatal MRI.</w:t>
      </w:r>
    </w:p>
    <w:p>
      <w:r>
        <w:pict>
          <v:rect style="width:0;height:1.5pt" o:hralign="center" o:hrstd="t" o:hr="t"/>
        </w:pict>
      </w:r>
    </w:p>
    <w:bookmarkEnd w:id="19"/>
    <w:bookmarkEnd w:id="20"/>
    <w:bookmarkStart w:id="24" w:name="childhood-cancers-of-embryonal-origin"/>
    <w:p>
      <w:pPr>
        <w:pStyle w:val="Heading2"/>
      </w:pPr>
      <w:r>
        <w:t xml:space="preserve">6. Childhood Cancers of Embryonal Origin</w:t>
      </w:r>
    </w:p>
    <w:p>
      <w:pPr>
        <w:pStyle w:val="FirstParagraph"/>
      </w:pPr>
      <w:r>
        <w:t xml:space="preserve">Three childhood cancers directly parallel the</w:t>
      </w:r>
      <w:r>
        <w:t xml:space="preserve"> </w:t>
      </w:r>
      <w:r>
        <w:t xml:space="preserve">“maturation arrest”</w:t>
      </w:r>
      <w:r>
        <w:t xml:space="preserve"> </w:t>
      </w:r>
      <w:r>
        <w:t xml:space="preserve">mechanism described in the alignment model:</w:t>
      </w:r>
    </w:p>
    <w:bookmarkStart w:id="21" w:name="neuroblastoma"/>
    <w:p>
      <w:pPr>
        <w:pStyle w:val="Heading3"/>
      </w:pPr>
      <w:r>
        <w:t xml:space="preserve">6.1 Neuroblastoma</w:t>
      </w:r>
    </w:p>
    <w:p>
      <w:pPr>
        <w:pStyle w:val="FirstParagraph"/>
      </w:pPr>
      <w:r>
        <w:t xml:space="preserve">Neuroblastoma arises from neural crest progenitor cells that fail to differentiate (Maris et al., 2007). HIF-1α and HIF-2α are active in neuroblastoma, maintaining the immature phenotype (Holmquist-Mengelbier et al., 2006; Pietras et al., 2009). High HIF-2α expression correlates with an undifferentiated, stem-like state and poor prognosis. This is the same maturation arrest mechanism the alignment model describes for OPCs — except occurring in the neural crest lineage during weeks 4-10 of gestation.</w:t>
      </w:r>
    </w:p>
    <w:bookmarkEnd w:id="21"/>
    <w:bookmarkStart w:id="22" w:name="wilms-tumour"/>
    <w:p>
      <w:pPr>
        <w:pStyle w:val="Heading3"/>
      </w:pPr>
      <w:r>
        <w:t xml:space="preserve">6.2 Wilms Tumour</w:t>
      </w:r>
    </w:p>
    <w:p>
      <w:pPr>
        <w:pStyle w:val="FirstParagraph"/>
      </w:pPr>
      <w:r>
        <w:t xml:space="preserve">Wilms tumour arises from nephrogenic rests — islands of persistent embryonal renal tissue that failed to differentiate (Hohenstein et al., 2015). Renal organogenesis occurs during weeks 10-36 and is oxygen-sensitive, with HIF-1α playing a documented role in nephron endowment (Brenner hypothesis). If gestational hypoxia arrests the differentiation of metanephric mesenchyme, the resulting nephrogenic rests represent a precancer state — precisely the maturation arrest mechanism.</w:t>
      </w:r>
    </w:p>
    <w:bookmarkEnd w:id="22"/>
    <w:bookmarkStart w:id="23" w:name="retinoblastoma"/>
    <w:p>
      <w:pPr>
        <w:pStyle w:val="Heading3"/>
      </w:pPr>
      <w:r>
        <w:t xml:space="preserve">6.3 Retinoblastoma</w:t>
      </w:r>
    </w:p>
    <w:p>
      <w:pPr>
        <w:pStyle w:val="FirstParagraph"/>
      </w:pPr>
      <w:r>
        <w:t xml:space="preserve">Retinoblastoma arises from retinal progenitor cells. While classically attributed to RB1 mutation (Knudson, 1971), the cell of origin is a progenitor that failed to terminally differentiate. The retina develops during weeks 6-36 and is highly vascularised and oxygen-sensitive.</w:t>
      </w:r>
    </w:p>
    <w:p>
      <w:pPr>
        <w:pStyle w:val="BodyText"/>
      </w:pPr>
      <w:r>
        <w:rPr>
          <w:b/>
          <w:bCs/>
        </w:rPr>
        <w:t xml:space="preserve">Common pattern:</w:t>
      </w:r>
      <w:r>
        <w:t xml:space="preserve"> </w:t>
      </w:r>
      <w:r>
        <w:t xml:space="preserve">All three childhood cancers originate from progenitor cells that failed to differentiate at the expected developmental time point — the same mechanism the alignment model describes for OPCs. Gestational hypoxia during the relevant organ-specific window may arrest differentiation, creating persistent progenitor pools that function as precancer states.</w:t>
      </w:r>
    </w:p>
    <w:p>
      <w:r>
        <w:pict>
          <v:rect style="width:0;height:1.5pt" o:hralign="center" o:hrstd="t" o:hr="t"/>
        </w:pict>
      </w:r>
    </w:p>
    <w:bookmarkEnd w:id="23"/>
    <w:bookmarkEnd w:id="24"/>
    <w:bookmarkStart w:id="28" w:name="epidemiological-evidence"/>
    <w:p>
      <w:pPr>
        <w:pStyle w:val="Heading2"/>
      </w:pPr>
      <w:r>
        <w:t xml:space="preserve">7. Epidemiological Evidence</w:t>
      </w:r>
    </w:p>
    <w:bookmarkStart w:id="25" w:name="preeclampsia-and-cancer"/>
    <w:p>
      <w:pPr>
        <w:pStyle w:val="Heading3"/>
      </w:pPr>
      <w:r>
        <w:t xml:space="preserve">7.1 Preeclampsia and Cancer</w:t>
      </w:r>
    </w:p>
    <w:p>
      <w:pPr>
        <w:pStyle w:val="FirstParagraph"/>
      </w:pPr>
      <w:r>
        <w:t xml:space="preserve">The epidemiological literature linking gestational adversity to offspring cancer risk is limited but suggestive:</w:t>
      </w:r>
    </w:p>
    <w:p>
      <w:pPr>
        <w:pStyle w:val="Compact"/>
        <w:numPr>
          <w:ilvl w:val="0"/>
          <w:numId w:val="1002"/>
        </w:numPr>
      </w:pPr>
      <w:r>
        <w:rPr>
          <w:b/>
          <w:bCs/>
        </w:rPr>
        <w:t xml:space="preserve">Cnattingius et al. (1995):</w:t>
      </w:r>
      <w:r>
        <w:t xml:space="preserve"> </w:t>
      </w:r>
      <w:r>
        <w:t xml:space="preserve">Preeclampsia was associated with altered risk of childhood myeloid leukaemia in a Swedish cohort, suggesting that placental insufficiency affects haematopoietic stem cell programming.</w:t>
      </w:r>
    </w:p>
    <w:p>
      <w:pPr>
        <w:pStyle w:val="Compact"/>
        <w:numPr>
          <w:ilvl w:val="0"/>
          <w:numId w:val="1002"/>
        </w:numPr>
      </w:pPr>
      <w:r>
        <w:rPr>
          <w:b/>
          <w:bCs/>
        </w:rPr>
        <w:t xml:space="preserve">Podvin et al. (2006):</w:t>
      </w:r>
      <w:r>
        <w:t xml:space="preserve"> </w:t>
      </w:r>
      <w:r>
        <w:t xml:space="preserve">Maternal and birth characteristics, including preeclampsia-related variables, showed associations with childhood leukaemia risk.</w:t>
      </w:r>
    </w:p>
    <w:p>
      <w:pPr>
        <w:pStyle w:val="Compact"/>
        <w:numPr>
          <w:ilvl w:val="0"/>
          <w:numId w:val="1002"/>
        </w:numPr>
      </w:pPr>
      <w:r>
        <w:rPr>
          <w:b/>
          <w:bCs/>
        </w:rPr>
        <w:t xml:space="preserve">Kajantie et al. (2005):</w:t>
      </w:r>
      <w:r>
        <w:t xml:space="preserve"> </w:t>
      </w:r>
      <w:r>
        <w:t xml:space="preserve">PE-exposed offspring showed increased stroke risk in adulthood — demonstrating that gestational vascular programming persists for decades and affects HIF-responsive vascular tissues.</w:t>
      </w:r>
    </w:p>
    <w:bookmarkEnd w:id="25"/>
    <w:bookmarkStart w:id="26" w:name="birth-weight-and-cancer"/>
    <w:p>
      <w:pPr>
        <w:pStyle w:val="Heading3"/>
      </w:pPr>
      <w:r>
        <w:t xml:space="preserve">7.2 Birth Weight and Cancer</w:t>
      </w:r>
    </w:p>
    <w:p>
      <w:pPr>
        <w:pStyle w:val="FirstParagraph"/>
      </w:pPr>
      <w:r>
        <w:t xml:space="preserve">Birth weight — a proxy for gestational oxygen and nutrient adequacy — shows consistent associations with adult cancer risk:</w:t>
      </w:r>
    </w:p>
    <w:p>
      <w:pPr>
        <w:pStyle w:val="Compact"/>
        <w:numPr>
          <w:ilvl w:val="0"/>
          <w:numId w:val="1003"/>
        </w:numPr>
      </w:pPr>
      <w:r>
        <w:rPr>
          <w:b/>
          <w:bCs/>
        </w:rPr>
        <w:t xml:space="preserve">Ahlgren et al. (2007):</w:t>
      </w:r>
      <w:r>
        <w:t xml:space="preserve"> </w:t>
      </w:r>
      <w:r>
        <w:t xml:space="preserve">Higher birth weight associated with increased overall cancer risk, while IUGR showed specific cancer-type associations.</w:t>
      </w:r>
    </w:p>
    <w:p>
      <w:pPr>
        <w:pStyle w:val="Compact"/>
        <w:numPr>
          <w:ilvl w:val="0"/>
          <w:numId w:val="1003"/>
        </w:numPr>
      </w:pPr>
      <w:r>
        <w:rPr>
          <w:b/>
          <w:bCs/>
        </w:rPr>
        <w:t xml:space="preserve">Michels &amp; Xue (2006):</w:t>
      </w:r>
      <w:r>
        <w:t xml:space="preserve"> </w:t>
      </w:r>
      <w:r>
        <w:t xml:space="preserve">Birth weight linked to breast cancer risk, consistent with Trichopoulos’s (1990) hypothesis that breast cancer originates in utero through prenatal oestrogen and growth factor exposure.</w:t>
      </w:r>
    </w:p>
    <w:p>
      <w:pPr>
        <w:pStyle w:val="Compact"/>
        <w:numPr>
          <w:ilvl w:val="0"/>
          <w:numId w:val="1003"/>
        </w:numPr>
      </w:pPr>
      <w:r>
        <w:rPr>
          <w:b/>
          <w:bCs/>
        </w:rPr>
        <w:t xml:space="preserve">O’Neill et al. (2015):</w:t>
      </w:r>
      <w:r>
        <w:t xml:space="preserve"> </w:t>
      </w:r>
      <w:r>
        <w:t xml:space="preserve">Infant birthweight shows non-linear associations with childhood cancer risk.</w:t>
      </w:r>
    </w:p>
    <w:p>
      <w:pPr>
        <w:pStyle w:val="Compact"/>
        <w:numPr>
          <w:ilvl w:val="0"/>
          <w:numId w:val="1003"/>
        </w:numPr>
      </w:pPr>
      <w:r>
        <w:rPr>
          <w:b/>
          <w:bCs/>
        </w:rPr>
        <w:t xml:space="preserve">Caughey &amp; Michels (2009):</w:t>
      </w:r>
      <w:r>
        <w:t xml:space="preserve"> </w:t>
      </w:r>
      <w:r>
        <w:t xml:space="preserve">Meta-analysis confirmed birth weight-childhood leukaemia associations.</w:t>
      </w:r>
    </w:p>
    <w:p>
      <w:pPr>
        <w:pStyle w:val="Compact"/>
        <w:numPr>
          <w:ilvl w:val="0"/>
          <w:numId w:val="1003"/>
        </w:numPr>
      </w:pPr>
      <w:r>
        <w:rPr>
          <w:b/>
          <w:bCs/>
        </w:rPr>
        <w:t xml:space="preserve">Risnes et al. (2011):</w:t>
      </w:r>
      <w:r>
        <w:t xml:space="preserve"> </w:t>
      </w:r>
      <w:r>
        <w:t xml:space="preserve">Systematic review linking birthweight to adult mortality patterns including cancer.</w:t>
      </w:r>
    </w:p>
    <w:bookmarkEnd w:id="26"/>
    <w:bookmarkStart w:id="27" w:name="the-emerging-cohort-gap"/>
    <w:p>
      <w:pPr>
        <w:pStyle w:val="Heading3"/>
      </w:pPr>
      <w:r>
        <w:t xml:space="preserve">7.3 The Emerging Cohort Gap</w:t>
      </w:r>
    </w:p>
    <w:p>
      <w:pPr>
        <w:pStyle w:val="FirstParagraph"/>
      </w:pPr>
      <w:r>
        <w:t xml:space="preserve">The critical limitation is temporal. Preeclampsia survival and preterm survival have improved dramatically over the last 40 years. The first large cohorts of PE-exposed and preterm survivors are only now reaching the age when adult cancers manifest (40-60 years). The epidemiological data linking gestational hypoxia to adult cancer is expected to emerge over the next 10-20 years as these cohorts age through cancer-incidence decades.</w:t>
      </w:r>
    </w:p>
    <w:p>
      <w:r>
        <w:pict>
          <v:rect style="width:0;height:1.5pt" o:hralign="center" o:hrstd="t" o:hr="t"/>
        </w:pict>
      </w:r>
    </w:p>
    <w:bookmarkEnd w:id="27"/>
    <w:bookmarkEnd w:id="28"/>
    <w:bookmarkStart w:id="32" w:name="Xab1f6bc2c5623617fd4cb80296af0cd9e39ef16"/>
    <w:p>
      <w:pPr>
        <w:pStyle w:val="Heading2"/>
      </w:pPr>
      <w:r>
        <w:t xml:space="preserve">8. The Epigenetic Memory of Gestational Hypoxia</w:t>
      </w:r>
    </w:p>
    <w:bookmarkStart w:id="29" w:name="persistent-methylation-changes"/>
    <w:p>
      <w:pPr>
        <w:pStyle w:val="Heading3"/>
      </w:pPr>
      <w:r>
        <w:t xml:space="preserve">8.1 Persistent Methylation Changes</w:t>
      </w:r>
    </w:p>
    <w:p>
      <w:pPr>
        <w:pStyle w:val="FirstParagraph"/>
      </w:pPr>
      <w:r>
        <w:t xml:space="preserve">HIF-1α drives epigenetic reprogramming through multiple mechanisms (Geismann &amp; Arlt, 2020):</w:t>
      </w:r>
      <w:r>
        <w:t xml:space="preserve"> </w:t>
      </w:r>
      <w:r>
        <w:t xml:space="preserve">- Direct recruitment of DNA methyltransferases (DNMTs) to target promoters</w:t>
      </w:r>
      <w:r>
        <w:t xml:space="preserve"> </w:t>
      </w:r>
      <w:r>
        <w:t xml:space="preserve">- Activation of TET enzymes (ten-eleven translocation) — paradoxically, these demethylases cause both active demethylation at some loci and secondary re-methylation at others</w:t>
      </w:r>
      <w:r>
        <w:t xml:space="preserve"> </w:t>
      </w:r>
      <w:r>
        <w:t xml:space="preserve">- Histone modification through HIF-dependent histone demethylase (KDM) recruitment</w:t>
      </w:r>
      <w:r>
        <w:t xml:space="preserve"> </w:t>
      </w:r>
      <w:r>
        <w:t xml:space="preserve">- miRNA expression changes, particularly miR-210</w:t>
      </w:r>
    </w:p>
    <w:p>
      <w:pPr>
        <w:pStyle w:val="BodyText"/>
      </w:pPr>
      <w:r>
        <w:t xml:space="preserve">The gene categories affected by HIF-driven epigenetic reprogramming map directly to cancer-relevant pathways: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Gene Category</w:t>
            </w:r>
          </w:p>
        </w:tc>
        <w:tc>
          <w:tcPr/>
          <w:p>
            <w:pPr>
              <w:pStyle w:val="Compact"/>
            </w:pPr>
            <w:r>
              <w:t xml:space="preserve">Examples</w:t>
            </w:r>
          </w:p>
        </w:tc>
        <w:tc>
          <w:tcPr/>
          <w:p>
            <w:pPr>
              <w:pStyle w:val="Compact"/>
            </w:pPr>
            <w:r>
              <w:t xml:space="preserve">Cancer Relevance</w:t>
            </w:r>
          </w:p>
        </w:tc>
      </w:tr>
      <w:tr>
        <w:tc>
          <w:tcPr/>
          <w:p>
            <w:pPr>
              <w:pStyle w:val="Compact"/>
            </w:pPr>
            <w:r>
              <w:t xml:space="preserve">Glycolytic enzymes</w:t>
            </w:r>
          </w:p>
        </w:tc>
        <w:tc>
          <w:tcPr/>
          <w:p>
            <w:pPr>
              <w:pStyle w:val="Compact"/>
            </w:pPr>
            <w:r>
              <w:t xml:space="preserve">HK2, LDHA, PGK1, ENO1</w:t>
            </w:r>
          </w:p>
        </w:tc>
        <w:tc>
          <w:tcPr/>
          <w:p>
            <w:pPr>
              <w:pStyle w:val="Compact"/>
            </w:pPr>
            <w:r>
              <w:t xml:space="preserve">Warburg effect pre-programming</w:t>
            </w:r>
          </w:p>
        </w:tc>
      </w:tr>
      <w:tr>
        <w:tc>
          <w:tcPr/>
          <w:p>
            <w:pPr>
              <w:pStyle w:val="Compact"/>
            </w:pPr>
            <w:r>
              <w:t xml:space="preserve">Angiogenic factors</w:t>
            </w:r>
          </w:p>
        </w:tc>
        <w:tc>
          <w:tcPr/>
          <w:p>
            <w:pPr>
              <w:pStyle w:val="Compact"/>
            </w:pPr>
            <w:r>
              <w:t xml:space="preserve">VEGF, PDGF, angiopoietin</w:t>
            </w:r>
          </w:p>
        </w:tc>
        <w:tc>
          <w:tcPr/>
          <w:p>
            <w:pPr>
              <w:pStyle w:val="Compact"/>
            </w:pPr>
            <w:r>
              <w:t xml:space="preserve">Tumour vasculature</w:t>
            </w:r>
          </w:p>
        </w:tc>
      </w:tr>
      <w:tr>
        <w:tc>
          <w:tcPr/>
          <w:p>
            <w:pPr>
              <w:pStyle w:val="Compact"/>
            </w:pPr>
            <w:r>
              <w:t xml:space="preserve">Anti-apoptotic genes</w:t>
            </w:r>
          </w:p>
        </w:tc>
        <w:tc>
          <w:tcPr/>
          <w:p>
            <w:pPr>
              <w:pStyle w:val="Compact"/>
            </w:pPr>
            <w:r>
              <w:t xml:space="preserve">Survivin, BNIP3L</w:t>
            </w:r>
          </w:p>
        </w:tc>
        <w:tc>
          <w:tcPr/>
          <w:p>
            <w:pPr>
              <w:pStyle w:val="Compact"/>
            </w:pPr>
            <w:r>
              <w:t xml:space="preserve">Resistance to cell death</w:t>
            </w:r>
          </w:p>
        </w:tc>
      </w:tr>
      <w:tr>
        <w:tc>
          <w:tcPr/>
          <w:p>
            <w:pPr>
              <w:pStyle w:val="Compact"/>
            </w:pPr>
            <w:r>
              <w:t xml:space="preserve">Cell cycle regulators</w:t>
            </w:r>
          </w:p>
        </w:tc>
        <w:tc>
          <w:tcPr/>
          <w:p>
            <w:pPr>
              <w:pStyle w:val="Compact"/>
            </w:pPr>
            <w:r>
              <w:t xml:space="preserve">p21, cyclin D1</w:t>
            </w:r>
          </w:p>
        </w:tc>
        <w:tc>
          <w:tcPr/>
          <w:p>
            <w:pPr>
              <w:pStyle w:val="Compact"/>
            </w:pPr>
            <w:r>
              <w:t xml:space="preserve">Proliferative advantage</w:t>
            </w:r>
          </w:p>
        </w:tc>
      </w:tr>
      <w:tr>
        <w:tc>
          <w:tcPr/>
          <w:p>
            <w:pPr>
              <w:pStyle w:val="Compact"/>
            </w:pPr>
            <w:r>
              <w:t xml:space="preserve">Tumour suppressors</w:t>
            </w:r>
          </w:p>
        </w:tc>
        <w:tc>
          <w:tcPr/>
          <w:p>
            <w:pPr>
              <w:pStyle w:val="Compact"/>
            </w:pPr>
            <w:r>
              <w:t xml:space="preserve">VHL, CDKN2A</w:t>
            </w:r>
          </w:p>
        </w:tc>
        <w:tc>
          <w:tcPr/>
          <w:p>
            <w:pPr>
              <w:pStyle w:val="Compact"/>
            </w:pPr>
            <w:r>
              <w:t xml:space="preserve">Growth constraint removal</w:t>
            </w:r>
          </w:p>
        </w:tc>
      </w:tr>
      <w:tr>
        <w:tc>
          <w:tcPr/>
          <w:p>
            <w:pPr>
              <w:pStyle w:val="Compact"/>
            </w:pPr>
            <w:r>
              <w:t xml:space="preserve">Immune modulators</w:t>
            </w:r>
          </w:p>
        </w:tc>
        <w:tc>
          <w:tcPr/>
          <w:p>
            <w:pPr>
              <w:pStyle w:val="Compact"/>
            </w:pPr>
            <w:r>
              <w:t xml:space="preserve">PD-L1, IDO1</w:t>
            </w:r>
          </w:p>
        </w:tc>
        <w:tc>
          <w:tcPr/>
          <w:p>
            <w:pPr>
              <w:pStyle w:val="Compact"/>
            </w:pPr>
            <w:r>
              <w:t xml:space="preserve">Immune evasion</w:t>
            </w:r>
          </w:p>
        </w:tc>
      </w:tr>
      <w:tr>
        <w:tc>
          <w:tcPr/>
          <w:p>
            <w:pPr>
              <w:pStyle w:val="Compact"/>
            </w:pPr>
            <w:r>
              <w:t xml:space="preserve">DNA repair</w:t>
            </w:r>
          </w:p>
        </w:tc>
        <w:tc>
          <w:tcPr/>
          <w:p>
            <w:pPr>
              <w:pStyle w:val="Compact"/>
            </w:pPr>
            <w:r>
              <w:t xml:space="preserve">BRCA1, RAD51</w:t>
            </w:r>
          </w:p>
        </w:tc>
        <w:tc>
          <w:tcPr/>
          <w:p>
            <w:pPr>
              <w:pStyle w:val="Compact"/>
            </w:pPr>
            <w:r>
              <w:t xml:space="preserve">Genome instability</w:t>
            </w:r>
          </w:p>
        </w:tc>
      </w:tr>
      <w:tr>
        <w:tc>
          <w:tcPr/>
          <w:p>
            <w:pPr>
              <w:pStyle w:val="Compact"/>
            </w:pPr>
            <w:r>
              <w:t xml:space="preserve">Epigenetic regulators</w:t>
            </w:r>
          </w:p>
        </w:tc>
        <w:tc>
          <w:tcPr/>
          <w:p>
            <w:pPr>
              <w:pStyle w:val="Compact"/>
            </w:pPr>
            <w:r>
              <w:t xml:space="preserve">TET2, DNMT3A/B, KDM4-6</w:t>
            </w:r>
          </w:p>
        </w:tc>
        <w:tc>
          <w:tcPr/>
          <w:p>
            <w:pPr>
              <w:pStyle w:val="Compact"/>
            </w:pPr>
            <w:r>
              <w:t xml:space="preserve">Epigenetic cascading</w:t>
            </w:r>
          </w:p>
        </w:tc>
      </w:tr>
    </w:tbl>
    <w:bookmarkEnd w:id="29"/>
    <w:bookmarkStart w:id="30" w:name="mir-210-the-hypoxamir"/>
    <w:p>
      <w:pPr>
        <w:pStyle w:val="Heading3"/>
      </w:pPr>
      <w:r>
        <w:t xml:space="preserve">8.2 miR-210: The HypoxamiR</w:t>
      </w:r>
    </w:p>
    <w:p>
      <w:pPr>
        <w:pStyle w:val="FirstParagraph"/>
      </w:pPr>
      <w:r>
        <w:t xml:space="preserve">miR-210 is the most consistently hypoxia-induced microRNA across all cell types (Huang et al., 2010). In cancer biology, miR-210 is:</w:t>
      </w:r>
      <w:r>
        <w:t xml:space="preserve"> </w:t>
      </w:r>
      <w:r>
        <w:t xml:space="preserve">- Overexpressed in breast cancer and correlates with poor prognosis (Camps et al., 2008)</w:t>
      </w:r>
      <w:r>
        <w:t xml:space="preserve"> </w:t>
      </w:r>
      <w:r>
        <w:t xml:space="preserve">- Elevated in late-stage lung cancer (Puisségur et al., 2011)</w:t>
      </w:r>
      <w:r>
        <w:t xml:space="preserve"> </w:t>
      </w:r>
      <w:r>
        <w:t xml:space="preserve">- Functionally linked to DNA repair suppression and mitochondrial dysfunction</w:t>
      </w:r>
    </w:p>
    <w:p>
      <w:pPr>
        <w:pStyle w:val="BodyText"/>
      </w:pPr>
      <w:r>
        <w:t xml:space="preserve">In gestational biology, miR-210 is elevated in placentas from preeclamptic pregnancies and in cord blood of PE-exposed neonates. The persistence of miR-210 elevation from birth into adulthood has not been systematically studied — but if it persists, it provides a mechanistic link between gestational hypoxia and cancer predisposition through chronic DNA repair impairment.</w:t>
      </w:r>
    </w:p>
    <w:bookmarkEnd w:id="30"/>
    <w:bookmarkStart w:id="31" w:name="hif3a-methylation-on-guthrie-cards"/>
    <w:p>
      <w:pPr>
        <w:pStyle w:val="Heading3"/>
      </w:pPr>
      <w:r>
        <w:t xml:space="preserve">8.3 HIF3A Methylation on Guthrie Cards</w:t>
      </w:r>
    </w:p>
    <w:p>
      <w:pPr>
        <w:pStyle w:val="FirstParagraph"/>
      </w:pPr>
      <w:r>
        <w:t xml:space="preserve">HIF3A methylation is detectable on archived newborn blood spot (Guthrie) cards (Zar Kyaw et al., 2019). This provides a retrospective tool: Guthrie cards stored in biobanks from births dating back to the 1970s-1980s could be analysed for HIF3A methylation and linked to cancer registries to test whether neonatal HIF epigenetic marks predict adult cancer incidence.</w:t>
      </w:r>
    </w:p>
    <w:p>
      <w:r>
        <w:pict>
          <v:rect style="width:0;height:1.5pt" o:hralign="center" o:hrstd="t" o:hr="t"/>
        </w:pict>
      </w:r>
    </w:p>
    <w:bookmarkEnd w:id="31"/>
    <w:bookmarkEnd w:id="32"/>
    <w:bookmarkStart w:id="36" w:name="the-extended-knudson-model"/>
    <w:p>
      <w:pPr>
        <w:pStyle w:val="Heading2"/>
      </w:pPr>
      <w:r>
        <w:t xml:space="preserve">9. The Extended Knudson Model</w:t>
      </w:r>
    </w:p>
    <w:bookmarkStart w:id="33" w:name="the-classical-two-hit-hypothesis"/>
    <w:p>
      <w:pPr>
        <w:pStyle w:val="Heading3"/>
      </w:pPr>
      <w:r>
        <w:t xml:space="preserve">9.1 The Classical Two-Hit Hypothesis</w:t>
      </w:r>
    </w:p>
    <w:p>
      <w:pPr>
        <w:pStyle w:val="FirstParagraph"/>
      </w:pPr>
      <w:r>
        <w:t xml:space="preserve">Knudson’s (1971) two-hit hypothesis for retinoblastoma established that cancer requires the inactivation of both alleles of a tumour-suppressor gene. In hereditary retinoblastoma, the first hit is inherited (germline RB1 mutation); the second is somatic. In sporadic retinoblastoma, both hits are somatic.</w:t>
      </w:r>
    </w:p>
    <w:bookmarkEnd w:id="33"/>
    <w:bookmarkStart w:id="34" w:name="the-epigenetic-extension"/>
    <w:p>
      <w:pPr>
        <w:pStyle w:val="Heading3"/>
      </w:pPr>
      <w:r>
        <w:t xml:space="preserve">9.2 The Epigenetic Extension</w:t>
      </w:r>
    </w:p>
    <w:p>
      <w:pPr>
        <w:pStyle w:val="FirstParagraph"/>
      </w:pPr>
      <w:r>
        <w:t xml:space="preserve">We propose an</w:t>
      </w:r>
      <w:r>
        <w:t xml:space="preserve"> </w:t>
      </w:r>
      <w:r>
        <w:rPr>
          <w:b/>
          <w:bCs/>
        </w:rPr>
        <w:t xml:space="preserve">epigenetic extension</w:t>
      </w:r>
      <w:r>
        <w:t xml:space="preserve"> </w:t>
      </w:r>
      <w:r>
        <w:t xml:space="preserve">of the Knudson model:</w:t>
      </w:r>
    </w:p>
    <w:p>
      <w:pPr>
        <w:pStyle w:val="BodyText"/>
      </w:pPr>
      <w:r>
        <w:rPr>
          <w:b/>
          <w:bCs/>
        </w:rPr>
        <w:t xml:space="preserve">In gestationally primed individuals, the first</w:t>
      </w:r>
      <w:r>
        <w:rPr>
          <w:b/>
          <w:bCs/>
        </w:rPr>
        <w:t xml:space="preserve"> </w:t>
      </w:r>
      <w:r>
        <w:rPr>
          <w:b/>
          <w:bCs/>
        </w:rPr>
        <w:t xml:space="preserve">“hit”</w:t>
      </w:r>
      <w:r>
        <w:rPr>
          <w:b/>
          <w:bCs/>
        </w:rPr>
        <w:t xml:space="preserve"> </w:t>
      </w:r>
      <w:r>
        <w:rPr>
          <w:b/>
          <w:bCs/>
        </w:rPr>
        <w:t xml:space="preserve">is not genetic but epigenetic.</w:t>
      </w:r>
      <w:r>
        <w:t xml:space="preserve"> </w:t>
      </w:r>
      <w:r>
        <w:t xml:space="preserve">Sustained gestational HIF-1α activation creates methylation changes at tumour-suppressor promoters (VHL, CDKN2A), pro-oncogene promoters (glycolytic enzymes, VEGF), and DNA repair gene promoters (BRCA1). These marks do not cause cancer alone — they reduce the number of subsequent somatic hits required for transformation.</w:t>
      </w:r>
    </w:p>
    <w:p>
      <w:pPr>
        <w:pStyle w:val="BodyText"/>
      </w:pPr>
      <w:r>
        <w:rPr>
          <w:b/>
          <w:bCs/>
        </w:rPr>
        <w:t xml:space="preserve">The threshold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First Hit</w:t>
            </w:r>
          </w:p>
        </w:tc>
        <w:tc>
          <w:tcPr/>
          <w:p>
            <w:pPr>
              <w:pStyle w:val="Compact"/>
            </w:pPr>
            <w:r>
              <w:t xml:space="preserve">Second Hit</w:t>
            </w:r>
          </w:p>
        </w:tc>
        <w:tc>
          <w:tcPr/>
          <w:p>
            <w:pPr>
              <w:pStyle w:val="Compact"/>
            </w:pPr>
            <w:r>
              <w:t xml:space="preserve">Third Hit</w:t>
            </w:r>
          </w:p>
        </w:tc>
        <w:tc>
          <w:tcPr/>
          <w:p>
            <w:pPr>
              <w:pStyle w:val="Compact"/>
            </w:pPr>
            <w:r>
              <w:t xml:space="preserve">Cancer Onset</w:t>
            </w:r>
          </w:p>
        </w:tc>
      </w:tr>
      <w:tr>
        <w:tc>
          <w:tcPr/>
          <w:p>
            <w:pPr>
              <w:pStyle w:val="Compact"/>
            </w:pPr>
            <w:r>
              <w:t xml:space="preserve">Classical sporadic</w:t>
            </w:r>
          </w:p>
        </w:tc>
        <w:tc>
          <w:tcPr/>
          <w:p>
            <w:pPr>
              <w:pStyle w:val="Compact"/>
            </w:pPr>
            <w:r>
              <w:t xml:space="preserve">Somatic mutation 1</w:t>
            </w:r>
          </w:p>
        </w:tc>
        <w:tc>
          <w:tcPr/>
          <w:p>
            <w:pPr>
              <w:pStyle w:val="Compact"/>
            </w:pPr>
            <w:r>
              <w:t xml:space="preserve">Somatic mutation 2</w:t>
            </w:r>
          </w:p>
        </w:tc>
        <w:tc>
          <w:tcPr/>
          <w:p>
            <w:pPr>
              <w:pStyle w:val="Compact"/>
            </w:pPr>
            <w:r>
              <w:t xml:space="preserve">Additional mutations</w:t>
            </w:r>
          </w:p>
        </w:tc>
        <w:tc>
          <w:tcPr/>
          <w:p>
            <w:pPr>
              <w:pStyle w:val="Compact"/>
            </w:pPr>
            <w:r>
              <w:t xml:space="preserve">Late (60-70s)</w:t>
            </w:r>
          </w:p>
        </w:tc>
      </w:tr>
      <w:tr>
        <w:tc>
          <w:tcPr/>
          <w:p>
            <w:pPr>
              <w:pStyle w:val="Compact"/>
            </w:pPr>
            <w:r>
              <w:t xml:space="preserve">Classical hereditary</w:t>
            </w:r>
          </w:p>
        </w:tc>
        <w:tc>
          <w:tcPr/>
          <w:p>
            <w:pPr>
              <w:pStyle w:val="Compact"/>
            </w:pPr>
            <w:r>
              <w:t xml:space="preserve">Germline mutation</w:t>
            </w:r>
          </w:p>
        </w:tc>
        <w:tc>
          <w:tcPr/>
          <w:p>
            <w:pPr>
              <w:pStyle w:val="Compact"/>
            </w:pPr>
            <w:r>
              <w:t xml:space="preserve">Somatic mutation</w:t>
            </w:r>
          </w:p>
        </w:tc>
        <w:tc>
          <w:tcPr/>
          <w:p>
            <w:pPr>
              <w:pStyle w:val="Compact"/>
            </w:pPr>
            <w:r>
              <w:t xml:space="preserve">—</w:t>
            </w:r>
          </w:p>
        </w:tc>
        <w:tc>
          <w:tcPr/>
          <w:p>
            <w:pPr>
              <w:pStyle w:val="Compact"/>
            </w:pPr>
            <w:r>
              <w:t xml:space="preserve">Early (childhood)</w:t>
            </w:r>
          </w:p>
        </w:tc>
      </w:tr>
      <w:tr>
        <w:tc>
          <w:tcPr/>
          <w:p>
            <w:pPr>
              <w:pStyle w:val="Compact"/>
            </w:pPr>
            <w:r>
              <w:rPr>
                <w:b/>
                <w:bCs/>
              </w:rPr>
              <w:t xml:space="preserve">Gestational priming</w:t>
            </w:r>
          </w:p>
        </w:tc>
        <w:tc>
          <w:tcPr/>
          <w:p>
            <w:pPr>
              <w:pStyle w:val="Compact"/>
            </w:pPr>
            <w:r>
              <w:rPr>
                <w:b/>
                <w:bCs/>
              </w:rPr>
              <w:t xml:space="preserve">Epigenetic mark</w:t>
            </w:r>
          </w:p>
        </w:tc>
        <w:tc>
          <w:tcPr/>
          <w:p>
            <w:pPr>
              <w:pStyle w:val="Compact"/>
            </w:pPr>
            <w:r>
              <w:rPr>
                <w:b/>
                <w:bCs/>
              </w:rPr>
              <w:t xml:space="preserve">Somatic mutation</w:t>
            </w:r>
          </w:p>
        </w:tc>
        <w:tc>
          <w:tcPr/>
          <w:p>
            <w:pPr>
              <w:pStyle w:val="Compact"/>
            </w:pPr>
            <w:r>
              <w:t xml:space="preserve">—</w:t>
            </w:r>
          </w:p>
        </w:tc>
        <w:tc>
          <w:tcPr/>
          <w:p>
            <w:pPr>
              <w:pStyle w:val="Compact"/>
            </w:pPr>
            <w:r>
              <w:rPr>
                <w:b/>
                <w:bCs/>
              </w:rPr>
              <w:t xml:space="preserve">Intermediate (40-50s)</w:t>
            </w:r>
          </w:p>
        </w:tc>
      </w:tr>
    </w:tbl>
    <w:p>
      <w:pPr>
        <w:pStyle w:val="BodyText"/>
      </w:pPr>
      <w:r>
        <w:t xml:space="preserve">The gestationally primed individual occupies an intermediate position: not carrying a germline mutation, but not starting from an unmodified baseline either. The epigenetic first hit lowers the threshold, predicting earlier cancer onset and lower somatic mutational burden in resulting tumours.</w:t>
      </w:r>
    </w:p>
    <w:bookmarkEnd w:id="34"/>
    <w:bookmarkStart w:id="35" w:name="the-predicted-phenotype"/>
    <w:p>
      <w:pPr>
        <w:pStyle w:val="Heading3"/>
      </w:pPr>
      <w:r>
        <w:t xml:space="preserve">9.3 The Predicted Phenotype</w:t>
      </w:r>
    </w:p>
    <w:p>
      <w:pPr>
        <w:pStyle w:val="FirstParagraph"/>
      </w:pPr>
      <w:r>
        <w:t xml:space="preserve">Cancers arising in gestationally primed individuals should show a distinctive signature:</w:t>
      </w:r>
      <w:r>
        <w:t xml:space="preserve"> </w:t>
      </w:r>
      <w:r>
        <w:t xml:space="preserve">-</w:t>
      </w:r>
      <w:r>
        <w:t xml:space="preserve"> </w:t>
      </w:r>
      <w:r>
        <w:rPr>
          <w:b/>
          <w:bCs/>
        </w:rPr>
        <w:t xml:space="preserve">Lower somatic mutational burden</w:t>
      </w:r>
      <w:r>
        <w:t xml:space="preserve"> </w:t>
      </w:r>
      <w:r>
        <w:t xml:space="preserve">(fewer hits needed)</w:t>
      </w:r>
      <w:r>
        <w:t xml:space="preserve"> </w:t>
      </w:r>
      <w:r>
        <w:t xml:space="preserve">-</w:t>
      </w:r>
      <w:r>
        <w:t xml:space="preserve"> </w:t>
      </w:r>
      <w:r>
        <w:rPr>
          <w:b/>
          <w:bCs/>
        </w:rPr>
        <w:t xml:space="preserve">Distinct HIF-related epigenetic profile</w:t>
      </w:r>
      <w:r>
        <w:t xml:space="preserve"> </w:t>
      </w:r>
      <w:r>
        <w:t xml:space="preserve">(methylation at HIF-responsive loci)</w:t>
      </w:r>
      <w:r>
        <w:t xml:space="preserve"> </w:t>
      </w:r>
      <w:r>
        <w:t xml:space="preserve">-</w:t>
      </w:r>
      <w:r>
        <w:t xml:space="preserve"> </w:t>
      </w:r>
      <w:r>
        <w:rPr>
          <w:b/>
          <w:bCs/>
        </w:rPr>
        <w:t xml:space="preserve">Cancer type biased toward HIF-responsive tissues</w:t>
      </w:r>
      <w:r>
        <w:t xml:space="preserve"> </w:t>
      </w:r>
      <w:r>
        <w:t xml:space="preserve">(kidney, brain, blood, liver)</w:t>
      </w:r>
      <w:r>
        <w:t xml:space="preserve"> </w:t>
      </w:r>
      <w:r>
        <w:t xml:space="preserve">-</w:t>
      </w:r>
      <w:r>
        <w:t xml:space="preserve"> </w:t>
      </w:r>
      <w:r>
        <w:rPr>
          <w:b/>
          <w:bCs/>
        </w:rPr>
        <w:t xml:space="preserve">Earlier age of onset</w:t>
      </w:r>
      <w:r>
        <w:t xml:space="preserve"> </w:t>
      </w:r>
      <w:r>
        <w:t xml:space="preserve">than population average for the same cancer type</w:t>
      </w:r>
      <w:r>
        <w:t xml:space="preserve"> </w:t>
      </w:r>
      <w:r>
        <w:t xml:space="preserve">-</w:t>
      </w:r>
      <w:r>
        <w:t xml:space="preserve"> </w:t>
      </w:r>
      <w:r>
        <w:rPr>
          <w:b/>
          <w:bCs/>
        </w:rPr>
        <w:t xml:space="preserve">Higher miR-210 expression</w:t>
      </w:r>
      <w:r>
        <w:t xml:space="preserve"> </w:t>
      </w:r>
      <w:r>
        <w:t xml:space="preserve">in tumour tissue</w:t>
      </w:r>
    </w:p>
    <w:p>
      <w:r>
        <w:pict>
          <v:rect style="width:0;height:1.5pt" o:hralign="center" o:hrstd="t" o:hr="t"/>
        </w:pict>
      </w:r>
    </w:p>
    <w:bookmarkEnd w:id="35"/>
    <w:bookmarkEnd w:id="36"/>
    <w:bookmarkStart w:id="39" w:name="multi-generational-compounding"/>
    <w:p>
      <w:pPr>
        <w:pStyle w:val="Heading2"/>
      </w:pPr>
      <w:r>
        <w:t xml:space="preserve">10. Multi-Generational Compounding</w:t>
      </w:r>
    </w:p>
    <w:bookmarkStart w:id="37" w:name="the-paternal-epigenetic-channel"/>
    <w:p>
      <w:pPr>
        <w:pStyle w:val="Heading3"/>
      </w:pPr>
      <w:r>
        <w:t xml:space="preserve">10.1 The Paternal Epigenetic Channel</w:t>
      </w:r>
    </w:p>
    <w:p>
      <w:pPr>
        <w:pStyle w:val="FirstParagraph"/>
      </w:pPr>
      <w:r>
        <w:t xml:space="preserve">Spermatogonial stem cells are formed during the father’s own fetal life. If the father experienced gestational hypoxia, his primordial germ cells carried HIF epigenetic marks, which may be partially transmitted through spermatogenesis. This creates a multi-generational compounding pathway:</w:t>
      </w:r>
    </w:p>
    <w:p>
      <w:pPr>
        <w:pStyle w:val="Compact"/>
        <w:numPr>
          <w:ilvl w:val="0"/>
          <w:numId w:val="1004"/>
        </w:numPr>
      </w:pPr>
      <w:r>
        <w:rPr>
          <w:b/>
          <w:bCs/>
        </w:rPr>
        <w:t xml:space="preserve">Generation 1 (grandfather):</w:t>
      </w:r>
      <w:r>
        <w:t xml:space="preserve"> </w:t>
      </w:r>
      <w:r>
        <w:t xml:space="preserve">Experienced gestational hypoxia → epigenetic marks in germline</w:t>
      </w:r>
    </w:p>
    <w:p>
      <w:pPr>
        <w:pStyle w:val="Compact"/>
        <w:numPr>
          <w:ilvl w:val="0"/>
          <w:numId w:val="1004"/>
        </w:numPr>
      </w:pPr>
      <w:r>
        <w:rPr>
          <w:b/>
          <w:bCs/>
        </w:rPr>
        <w:t xml:space="preserve">Generation 2 (father):</w:t>
      </w:r>
      <w:r>
        <w:t xml:space="preserve"> </w:t>
      </w:r>
      <w:r>
        <w:t xml:space="preserve">Inherits some marks + may experience his own gestational hypoxia → compounded marks</w:t>
      </w:r>
    </w:p>
    <w:p>
      <w:pPr>
        <w:pStyle w:val="Compact"/>
        <w:numPr>
          <w:ilvl w:val="0"/>
          <w:numId w:val="1004"/>
        </w:numPr>
      </w:pPr>
      <w:r>
        <w:rPr>
          <w:b/>
          <w:bCs/>
        </w:rPr>
        <w:t xml:space="preserve">Generation 3 (offspring):</w:t>
      </w:r>
      <w:r>
        <w:t xml:space="preserve"> </w:t>
      </w:r>
      <w:r>
        <w:t xml:space="preserve">Inherits compounded paternal marks + experiences maternal gestational hypoxia → highest cancer risk</w:t>
      </w:r>
    </w:p>
    <w:p>
      <w:pPr>
        <w:pStyle w:val="FirstParagraph"/>
      </w:pPr>
      <w:r>
        <w:t xml:space="preserve">This is consistent with the</w:t>
      </w:r>
      <w:r>
        <w:t xml:space="preserve"> </w:t>
      </w:r>
      <w:r>
        <w:t xml:space="preserve">“missing heritability”</w:t>
      </w:r>
      <w:r>
        <w:t xml:space="preserve"> </w:t>
      </w:r>
      <w:r>
        <w:t xml:space="preserve">problem in cancer genetics — known risk alleles explain only a fraction of familial cancer clustering. Transgenerational epigenetic inheritance through the HIF pathway may explain some of the remainder.</w:t>
      </w:r>
    </w:p>
    <w:bookmarkEnd w:id="37"/>
    <w:bookmarkStart w:id="38" w:name="the-lmic-cancer-burden"/>
    <w:p>
      <w:pPr>
        <w:pStyle w:val="Heading3"/>
      </w:pPr>
      <w:r>
        <w:t xml:space="preserve">10.2 The LMIC Cancer Burden</w:t>
      </w:r>
    </w:p>
    <w:p>
      <w:pPr>
        <w:pStyle w:val="FirstParagraph"/>
      </w:pPr>
      <w:r>
        <w:t xml:space="preserve">Low- and middle-income countries carry the highest rates of gestational hypoxia exposure: the highest preeclampsia rates, highest IUGR rates, highest maternal iron deficiency, worst neonatal oxygen management, and most environmental hypoxic exposures (air pollution, altitude, indoor cookstove smoke).</w:t>
      </w:r>
    </w:p>
    <w:p>
      <w:pPr>
        <w:pStyle w:val="BodyText"/>
      </w:pPr>
      <w:r>
        <w:t xml:space="preserve">As LMIC populations age and infectious disease mortality declines, cancer incidence is rising dramatically. The standard explanation is lifestyle westernisation (diet, tobacco, obesity). The HIF priming hypothesis adds a complementary explanation:</w:t>
      </w:r>
      <w:r>
        <w:t xml:space="preserve"> </w:t>
      </w:r>
      <w:r>
        <w:rPr>
          <w:b/>
          <w:bCs/>
        </w:rPr>
        <w:t xml:space="preserve">these populations carry the highest burden of gestational HIF epigenetic priming, and as they survive into later decades, the cancer consequences of that priming are emerging.</w:t>
      </w:r>
    </w:p>
    <w:p>
      <w:pPr>
        <w:pStyle w:val="BodyText"/>
      </w:pPr>
      <w:r>
        <w:t xml:space="preserve">Predictions:</w:t>
      </w:r>
      <w:r>
        <w:t xml:space="preserve"> </w:t>
      </w:r>
      <w:r>
        <w:t xml:space="preserve">- LMIC cancer demographics should show earlier onset than Western populations</w:t>
      </w:r>
      <w:r>
        <w:t xml:space="preserve"> </w:t>
      </w:r>
      <w:r>
        <w:t xml:space="preserve">- Cancer types should be enriched for HIF-responsive cancers (kidney, liver, brain, blood)</w:t>
      </w:r>
      <w:r>
        <w:t xml:space="preserve"> </w:t>
      </w:r>
      <w:r>
        <w:t xml:space="preserve">- Cancer burden will increase faster than lifestyle factors alone can explain</w:t>
      </w:r>
    </w:p>
    <w:p>
      <w:r>
        <w:pict>
          <v:rect style="width:0;height:1.5pt" o:hralign="center" o:hrstd="t" o:hr="t"/>
        </w:pict>
      </w:r>
    </w:p>
    <w:bookmarkEnd w:id="38"/>
    <w:bookmarkEnd w:id="39"/>
    <w:bookmarkStart w:id="40" w:name="testable-predictions"/>
    <w:p>
      <w:pPr>
        <w:pStyle w:val="Heading2"/>
      </w:pPr>
      <w:r>
        <w:t xml:space="preserve">11. Testable Predictions</w:t>
      </w:r>
    </w:p>
    <w:p>
      <w:pPr>
        <w:pStyle w:val="FirstParagraph"/>
      </w:pPr>
      <w:r>
        <w:t xml:space="preserve">The following prediction registry is designed to enable falsification: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Prediction</w:t>
            </w:r>
          </w:p>
        </w:tc>
        <w:tc>
          <w:tcPr/>
          <w:p>
            <w:pPr>
              <w:pStyle w:val="Compact"/>
            </w:pPr>
            <w:r>
              <w:t xml:space="preserve">Test Method</w:t>
            </w:r>
          </w:p>
        </w:tc>
        <w:tc>
          <w:tcPr/>
          <w:p>
            <w:pPr>
              <w:pStyle w:val="Compact"/>
            </w:pPr>
            <w:r>
              <w:t xml:space="preserve">Timeline</w:t>
            </w:r>
          </w:p>
        </w:tc>
      </w:tr>
      <w:tr>
        <w:tc>
          <w:tcPr/>
          <w:p>
            <w:pPr>
              <w:pStyle w:val="Compact"/>
            </w:pPr>
            <w:r>
              <w:t xml:space="preserve">1</w:t>
            </w:r>
          </w:p>
        </w:tc>
        <w:tc>
          <w:tcPr/>
          <w:p>
            <w:pPr>
              <w:pStyle w:val="Compact"/>
            </w:pPr>
            <w:r>
              <w:t xml:space="preserve">PE-exposed offspring show increased cancer incidence after age 40</w:t>
            </w:r>
          </w:p>
        </w:tc>
        <w:tc>
          <w:tcPr/>
          <w:p>
            <w:pPr>
              <w:pStyle w:val="Compact"/>
            </w:pPr>
            <w:r>
              <w:t xml:space="preserve">Birth cohort–cancer registry linkage (Nordic registries, UK Biobank)</w:t>
            </w:r>
          </w:p>
        </w:tc>
        <w:tc>
          <w:tcPr/>
          <w:p>
            <w:pPr>
              <w:pStyle w:val="Compact"/>
            </w:pPr>
            <w:r>
              <w:t xml:space="preserve">Available now</w:t>
            </w:r>
          </w:p>
        </w:tc>
      </w:tr>
      <w:tr>
        <w:tc>
          <w:tcPr/>
          <w:p>
            <w:pPr>
              <w:pStyle w:val="Compact"/>
            </w:pPr>
            <w:r>
              <w:t xml:space="preserve">2</w:t>
            </w:r>
          </w:p>
        </w:tc>
        <w:tc>
          <w:tcPr/>
          <w:p>
            <w:pPr>
              <w:pStyle w:val="Compact"/>
            </w:pPr>
            <w:r>
              <w:t xml:space="preserve">Cord blood from PE neonates shows methylation changes at VHL, CDKN2A, and glycolytic promoters</w:t>
            </w:r>
          </w:p>
        </w:tc>
        <w:tc>
          <w:tcPr/>
          <w:p>
            <w:pPr>
              <w:pStyle w:val="Compact"/>
            </w:pPr>
            <w:r>
              <w:t xml:space="preserve">EWAS of cord blood from existing biobanks</w:t>
            </w:r>
          </w:p>
        </w:tc>
        <w:tc>
          <w:tcPr/>
          <w:p>
            <w:pPr>
              <w:pStyle w:val="Compact"/>
            </w:pPr>
            <w:r>
              <w:t xml:space="preserve">1-2 years</w:t>
            </w:r>
          </w:p>
        </w:tc>
      </w:tr>
      <w:tr>
        <w:tc>
          <w:tcPr/>
          <w:p>
            <w:pPr>
              <w:pStyle w:val="Compact"/>
            </w:pPr>
            <w:r>
              <w:t xml:space="preserve">3</w:t>
            </w:r>
          </w:p>
        </w:tc>
        <w:tc>
          <w:tcPr/>
          <w:p>
            <w:pPr>
              <w:pStyle w:val="Compact"/>
            </w:pPr>
            <w:r>
              <w:t xml:space="preserve">Tumours from PE-exposed individuals show lower somatic mutational burden</w:t>
            </w:r>
          </w:p>
        </w:tc>
        <w:tc>
          <w:tcPr/>
          <w:p>
            <w:pPr>
              <w:pStyle w:val="Compact"/>
            </w:pPr>
            <w:r>
              <w:t xml:space="preserve">TCGA/ICGC data linked to birth records</w:t>
            </w:r>
          </w:p>
        </w:tc>
        <w:tc>
          <w:tcPr/>
          <w:p>
            <w:pPr>
              <w:pStyle w:val="Compact"/>
            </w:pPr>
            <w:r>
              <w:t xml:space="preserve">5+ years</w:t>
            </w:r>
          </w:p>
        </w:tc>
      </w:tr>
      <w:tr>
        <w:tc>
          <w:tcPr/>
          <w:p>
            <w:pPr>
              <w:pStyle w:val="Compact"/>
            </w:pPr>
            <w:r>
              <w:t xml:space="preserve">4</w:t>
            </w:r>
          </w:p>
        </w:tc>
        <w:tc>
          <w:tcPr/>
          <w:p>
            <w:pPr>
              <w:pStyle w:val="Compact"/>
            </w:pPr>
            <w:r>
              <w:t xml:space="preserve">miR-210 levels are elevated in cord blood of PE-exposed neonates</w:t>
            </w:r>
          </w:p>
        </w:tc>
        <w:tc>
          <w:tcPr/>
          <w:p>
            <w:pPr>
              <w:pStyle w:val="Compact"/>
            </w:pPr>
            <w:r>
              <w:t xml:space="preserve">qPCR on archived cord blood</w:t>
            </w:r>
          </w:p>
        </w:tc>
        <w:tc>
          <w:tcPr/>
          <w:p>
            <w:pPr>
              <w:pStyle w:val="Compact"/>
            </w:pPr>
            <w:r>
              <w:t xml:space="preserve">1-2 years</w:t>
            </w:r>
          </w:p>
        </w:tc>
      </w:tr>
      <w:tr>
        <w:tc>
          <w:tcPr/>
          <w:p>
            <w:pPr>
              <w:pStyle w:val="Compact"/>
            </w:pPr>
            <w:r>
              <w:t xml:space="preserve">5</w:t>
            </w:r>
          </w:p>
        </w:tc>
        <w:tc>
          <w:tcPr/>
          <w:p>
            <w:pPr>
              <w:pStyle w:val="Compact"/>
            </w:pPr>
            <w:r>
              <w:t xml:space="preserve">Oligodendroglioma incidence is enriched in individuals with late-preterm gestational hypoxia</w:t>
            </w:r>
          </w:p>
        </w:tc>
        <w:tc>
          <w:tcPr/>
          <w:p>
            <w:pPr>
              <w:pStyle w:val="Compact"/>
            </w:pPr>
            <w:r>
              <w:t xml:space="preserve">Cancer registry–birth registry linkage by gestational timing</w:t>
            </w:r>
          </w:p>
        </w:tc>
        <w:tc>
          <w:tcPr/>
          <w:p>
            <w:pPr>
              <w:pStyle w:val="Compact"/>
            </w:pPr>
            <w:r>
              <w:t xml:space="preserve">5+ years</w:t>
            </w:r>
          </w:p>
        </w:tc>
      </w:tr>
      <w:tr>
        <w:tc>
          <w:tcPr/>
          <w:p>
            <w:pPr>
              <w:pStyle w:val="Compact"/>
            </w:pPr>
            <w:r>
              <w:t xml:space="preserve">6</w:t>
            </w:r>
          </w:p>
        </w:tc>
        <w:tc>
          <w:tcPr/>
          <w:p>
            <w:pPr>
              <w:pStyle w:val="Compact"/>
            </w:pPr>
            <w:r>
              <w:t xml:space="preserve">Cancers in LMIC populations show a distinct HIF epigenetic signature versus Western populations</w:t>
            </w:r>
          </w:p>
        </w:tc>
        <w:tc>
          <w:tcPr/>
          <w:p>
            <w:pPr>
              <w:pStyle w:val="Compact"/>
            </w:pPr>
            <w:r>
              <w:t xml:space="preserve">Comparative EWAS across cancer cohorts</w:t>
            </w:r>
          </w:p>
        </w:tc>
        <w:tc>
          <w:tcPr/>
          <w:p>
            <w:pPr>
              <w:pStyle w:val="Compact"/>
            </w:pPr>
            <w:r>
              <w:t xml:space="preserve">3-5 years</w:t>
            </w:r>
          </w:p>
        </w:tc>
      </w:tr>
      <w:tr>
        <w:tc>
          <w:tcPr/>
          <w:p>
            <w:pPr>
              <w:pStyle w:val="Compact"/>
            </w:pPr>
            <w:r>
              <w:t xml:space="preserve">7</w:t>
            </w:r>
          </w:p>
        </w:tc>
        <w:tc>
          <w:tcPr/>
          <w:p>
            <w:pPr>
              <w:pStyle w:val="Compact"/>
            </w:pPr>
            <w:r>
              <w:t xml:space="preserve">Neuroblastoma incidence is enriched in infants with early-pregnancy hypoxic events</w:t>
            </w:r>
          </w:p>
        </w:tc>
        <w:tc>
          <w:tcPr/>
          <w:p>
            <w:pPr>
              <w:pStyle w:val="Compact"/>
            </w:pPr>
            <w:r>
              <w:t xml:space="preserve">Birth registry–cancer registry linkage (Nordic)</w:t>
            </w:r>
          </w:p>
        </w:tc>
        <w:tc>
          <w:tcPr/>
          <w:p>
            <w:pPr>
              <w:pStyle w:val="Compact"/>
            </w:pPr>
            <w:r>
              <w:t xml:space="preserve">Available now</w:t>
            </w:r>
          </w:p>
        </w:tc>
      </w:tr>
      <w:tr>
        <w:tc>
          <w:tcPr/>
          <w:p>
            <w:pPr>
              <w:pStyle w:val="Compact"/>
            </w:pPr>
            <w:r>
              <w:t xml:space="preserve">8</w:t>
            </w:r>
          </w:p>
        </w:tc>
        <w:tc>
          <w:tcPr/>
          <w:p>
            <w:pPr>
              <w:pStyle w:val="Compact"/>
            </w:pPr>
            <w:r>
              <w:t xml:space="preserve">VHL promoter methylation in sporadic ccRCC is enriched in patients with documented gestational adversity</w:t>
            </w:r>
          </w:p>
        </w:tc>
        <w:tc>
          <w:tcPr/>
          <w:p>
            <w:pPr>
              <w:pStyle w:val="Compact"/>
            </w:pPr>
            <w:r>
              <w:t xml:space="preserve">Retrospective chart review + methylation analysis</w:t>
            </w:r>
          </w:p>
        </w:tc>
        <w:tc>
          <w:tcPr/>
          <w:p>
            <w:pPr>
              <w:pStyle w:val="Compact"/>
            </w:pPr>
            <w:r>
              <w:t xml:space="preserve">3-5 years</w:t>
            </w:r>
          </w:p>
        </w:tc>
      </w:tr>
      <w:tr>
        <w:tc>
          <w:tcPr/>
          <w:p>
            <w:pPr>
              <w:pStyle w:val="Compact"/>
            </w:pPr>
            <w:r>
              <w:t xml:space="preserve">9</w:t>
            </w:r>
          </w:p>
        </w:tc>
        <w:tc>
          <w:tcPr/>
          <w:p>
            <w:pPr>
              <w:pStyle w:val="Compact"/>
            </w:pPr>
            <w:r>
              <w:t xml:space="preserve">HIF3A methylation on archived Guthrie cards correlates with later cancer diagnosis</w:t>
            </w:r>
          </w:p>
        </w:tc>
        <w:tc>
          <w:tcPr/>
          <w:p>
            <w:pPr>
              <w:pStyle w:val="Compact"/>
            </w:pPr>
            <w:r>
              <w:t xml:space="preserve">Guthrie card bank–cancer registry linkage</w:t>
            </w:r>
          </w:p>
        </w:tc>
        <w:tc>
          <w:tcPr/>
          <w:p>
            <w:pPr>
              <w:pStyle w:val="Compact"/>
            </w:pPr>
            <w:r>
              <w:t xml:space="preserve">Available now</w:t>
            </w:r>
          </w:p>
        </w:tc>
      </w:tr>
      <w:tr>
        <w:tc>
          <w:tcPr/>
          <w:p>
            <w:pPr>
              <w:pStyle w:val="Compact"/>
            </w:pPr>
            <w:r>
              <w:t xml:space="preserve">10</w:t>
            </w:r>
          </w:p>
        </w:tc>
        <w:tc>
          <w:tcPr/>
          <w:p>
            <w:pPr>
              <w:pStyle w:val="Compact"/>
            </w:pPr>
            <w:r>
              <w:t xml:space="preserve">miR-210 expression in tumours from PE-exposed individuals is higher than in non-exposed</w:t>
            </w:r>
          </w:p>
        </w:tc>
        <w:tc>
          <w:tcPr/>
          <w:p>
            <w:pPr>
              <w:pStyle w:val="Compact"/>
            </w:pPr>
            <w:r>
              <w:t xml:space="preserve">miRNA profiling in paired tumour cohort</w:t>
            </w:r>
          </w:p>
        </w:tc>
        <w:tc>
          <w:tcPr/>
          <w:p>
            <w:pPr>
              <w:pStyle w:val="Compact"/>
            </w:pPr>
            <w:r>
              <w:t xml:space="preserve">3-5 years</w:t>
            </w:r>
          </w:p>
        </w:tc>
      </w:tr>
    </w:tbl>
    <w:p>
      <w:pPr>
        <w:pStyle w:val="BodyText"/>
      </w:pPr>
      <w:r>
        <w:t xml:space="preserve">Three predictions (1, 7, 9) are testable with existing datasets in jurisdictions that maintain linked birth and cancer registries. No new data collection is required — only data linkage and analysis.</w:t>
      </w:r>
    </w:p>
    <w:p>
      <w:r>
        <w:pict>
          <v:rect style="width:0;height:1.5pt" o:hralign="center" o:hrstd="t" o:hr="t"/>
        </w:pict>
      </w:r>
    </w:p>
    <w:bookmarkEnd w:id="40"/>
    <w:bookmarkStart w:id="45" w:name="therapeutic-implications"/>
    <w:p>
      <w:pPr>
        <w:pStyle w:val="Heading2"/>
      </w:pPr>
      <w:r>
        <w:t xml:space="preserve">12. Therapeutic Implications</w:t>
      </w:r>
    </w:p>
    <w:bookmarkStart w:id="41" w:name="prevention-reduce-gestational-hypoxia"/>
    <w:p>
      <w:pPr>
        <w:pStyle w:val="Heading3"/>
      </w:pPr>
      <w:r>
        <w:t xml:space="preserve">12.1 Prevention: Reduce Gestational Hypoxia</w:t>
      </w:r>
    </w:p>
    <w:p>
      <w:pPr>
        <w:pStyle w:val="FirstParagraph"/>
      </w:pPr>
      <w:r>
        <w:t xml:space="preserve">Every intervention the alignment model proposes for neurodevelopmental disorder prevention simultaneously reduces cancer priming:</w:t>
      </w:r>
      <w:r>
        <w:t xml:space="preserve"> </w:t>
      </w:r>
      <w:r>
        <w:t xml:space="preserve">- Improved preeclampsia prediction and management</w:t>
      </w:r>
      <w:r>
        <w:t xml:space="preserve"> </w:t>
      </w:r>
      <w:r>
        <w:t xml:space="preserve">- Maternal iron supplementation to prevent pseudohypoxia</w:t>
      </w:r>
      <w:r>
        <w:t xml:space="preserve"> </w:t>
      </w:r>
      <w:r>
        <w:t xml:space="preserve">- Air quality improvement, particularly in LMIC settings</w:t>
      </w:r>
      <w:r>
        <w:t xml:space="preserve"> </w:t>
      </w:r>
      <w:r>
        <w:t xml:space="preserve">- Neonatal oxygen management optimisation</w:t>
      </w:r>
    </w:p>
    <w:bookmarkEnd w:id="41"/>
    <w:bookmarkStart w:id="42" w:name="Xd3f163fd0722059e506c83de721c08f02adad6f"/>
    <w:p>
      <w:pPr>
        <w:pStyle w:val="Heading3"/>
      </w:pPr>
      <w:r>
        <w:t xml:space="preserve">12.2 Early Detection: Epigenetic Screening at Birth</w:t>
      </w:r>
    </w:p>
    <w:p>
      <w:pPr>
        <w:pStyle w:val="FirstParagraph"/>
      </w:pPr>
      <w:r>
        <w:t xml:space="preserve">If cord blood or Guthrie card EWAS can identify HIF-primed individuals, this enables:</w:t>
      </w:r>
      <w:r>
        <w:t xml:space="preserve"> </w:t>
      </w:r>
      <w:r>
        <w:t xml:space="preserve">- Risk-stratified cancer screening programmes beginning earlier</w:t>
      </w:r>
      <w:r>
        <w:t xml:space="preserve"> </w:t>
      </w:r>
      <w:r>
        <w:t xml:space="preserve">- Enhanced surveillance for HIF-responsive cancers</w:t>
      </w:r>
      <w:r>
        <w:t xml:space="preserve"> </w:t>
      </w:r>
      <w:r>
        <w:t xml:space="preserve">- miR-210 as a circulating biomarker for lifelong cancer risk stratification</w:t>
      </w:r>
    </w:p>
    <w:bookmarkEnd w:id="42"/>
    <w:bookmarkStart w:id="43" w:name="the-phd-inhibitor-safety-question"/>
    <w:p>
      <w:pPr>
        <w:pStyle w:val="Heading3"/>
      </w:pPr>
      <w:r>
        <w:t xml:space="preserve">12.3 The PHD Inhibitor Safety Question</w:t>
      </w:r>
    </w:p>
    <w:p>
      <w:pPr>
        <w:pStyle w:val="FirstParagraph"/>
      </w:pPr>
      <w:r>
        <w:t xml:space="preserve">Prolyl hydroxylase domain (PHD) inhibitors — roxadustat, daprodustat, vadadustat — are now approved for anaemia treatment and work by stabilising HIF to increase erythropoietin production. If gestational HIF activation primes for cancer, PHD inhibitors raise a critical safety question: do they increase cancer risk in adults?</w:t>
      </w:r>
    </w:p>
    <w:p>
      <w:pPr>
        <w:pStyle w:val="BodyText"/>
      </w:pPr>
      <w:r>
        <w:t xml:space="preserve">Current clinical trial data shows no clear cancer signal (Chen et al., 2019), but follow-up durations of 1-2 years are insufficient. The HIF priming model predicts that PHD inhibitor cancer risk would be dose-dependent, tissue-specific, and would take 5-10+ years to manifest — exactly the timeframe current trial data cannot address. Long-term pharmacovigilance for HIF-responsive cancers (ccRCC, haemangioblastoma) in PHD inhibitor users is warranted.</w:t>
      </w:r>
    </w:p>
    <w:bookmarkEnd w:id="43"/>
    <w:bookmarkStart w:id="44" w:name="epigenetic-reprogramming"/>
    <w:p>
      <w:pPr>
        <w:pStyle w:val="Heading3"/>
      </w:pPr>
      <w:r>
        <w:t xml:space="preserve">12.4 Epigenetic Reprogramming</w:t>
      </w:r>
    </w:p>
    <w:p>
      <w:pPr>
        <w:pStyle w:val="FirstParagraph"/>
      </w:pPr>
      <w:r>
        <w:t xml:space="preserve">If cancer risk derives from epigenetic marks rather than genetic mutations, those marks are theoretically reversible:</w:t>
      </w:r>
      <w:r>
        <w:t xml:space="preserve"> </w:t>
      </w:r>
      <w:r>
        <w:t xml:space="preserve">- DNMT inhibitors (azacitidine, decitabine), already used in haematological malignancies, could be investigated for chemoprevention in high-risk individuals</w:t>
      </w:r>
      <w:r>
        <w:t xml:space="preserve"> </w:t>
      </w:r>
      <w:r>
        <w:t xml:space="preserve">- TET enzyme modulation could potentially restore tumour-suppressor methylation patterns</w:t>
      </w:r>
      <w:r>
        <w:t xml:space="preserve"> </w:t>
      </w:r>
      <w:r>
        <w:t xml:space="preserve">- miR-210 antagomirs are in preclinical development</w:t>
      </w:r>
    </w:p>
    <w:p>
      <w:pPr>
        <w:pStyle w:val="BodyText"/>
      </w:pPr>
      <w:r>
        <w:t xml:space="preserve">These remain speculative but represent a distinct therapeutic frontier: cancer prevention through gestational epigenetic mark reversal.</w:t>
      </w:r>
    </w:p>
    <w:p>
      <w:r>
        <w:pict>
          <v:rect style="width:0;height:1.5pt" o:hralign="center" o:hrstd="t" o:hr="t"/>
        </w:pict>
      </w:r>
    </w:p>
    <w:bookmarkEnd w:id="44"/>
    <w:bookmarkEnd w:id="45"/>
    <w:bookmarkStart w:id="46" w:name="the-unified-pathway-from-womb-to-tumour"/>
    <w:p>
      <w:pPr>
        <w:pStyle w:val="Heading2"/>
      </w:pPr>
      <w:r>
        <w:t xml:space="preserve">13. The Unified Pathway: From Womb to Tumour</w:t>
      </w:r>
    </w:p>
    <w:p>
      <w:pPr>
        <w:pStyle w:val="FirstParagraph"/>
      </w:pPr>
      <w:r>
        <w:t xml:space="preserve">The complete causal architecture proceeds through three temporal phases:</w:t>
      </w:r>
    </w:p>
    <w:p>
      <w:pPr>
        <w:pStyle w:val="BodyText"/>
      </w:pPr>
      <w:r>
        <w:rPr>
          <w:b/>
          <w:bCs/>
        </w:rPr>
        <w:t xml:space="preserve">Phase 1 — Gestational Insult (prenatal):</w:t>
      </w:r>
      <w:r>
        <w:t xml:space="preserve"> </w:t>
      </w:r>
      <w:r>
        <w:t xml:space="preserve">Sustained HIF-1α activation from preeclampsia, IUGR, prematurity, or placental insufficiency creates two parallel consequences:</w:t>
      </w:r>
      <w:r>
        <w:t xml:space="preserve"> </w:t>
      </w:r>
      <w:r>
        <w:t xml:space="preserve">-</w:t>
      </w:r>
      <w:r>
        <w:t xml:space="preserve"> </w:t>
      </w:r>
      <w:r>
        <w:rPr>
          <w:i/>
          <w:iCs/>
        </w:rPr>
        <w:t xml:space="preserve">Developmental injury:</w:t>
      </w:r>
      <w:r>
        <w:t xml:space="preserve"> </w:t>
      </w:r>
      <w:r>
        <w:t xml:space="preserve">maturation arrest of organ-specific progenitors (producing childhood phenotypes: ASD, DCD, ADHD, organ-specific deficits)</w:t>
      </w:r>
      <w:r>
        <w:t xml:space="preserve"> </w:t>
      </w:r>
      <w:r>
        <w:t xml:space="preserve">-</w:t>
      </w:r>
      <w:r>
        <w:t xml:space="preserve"> </w:t>
      </w:r>
      <w:r>
        <w:rPr>
          <w:i/>
          <w:iCs/>
        </w:rPr>
        <w:t xml:space="preserve">Epigenetic priming:</w:t>
      </w:r>
      <w:r>
        <w:t xml:space="preserve"> </w:t>
      </w:r>
      <w:r>
        <w:t xml:space="preserve">persistent methylation changes at glycolytic, angiogenic, anti-apoptotic, tumour-suppressor, and DNA repair loci</w:t>
      </w:r>
    </w:p>
    <w:p>
      <w:pPr>
        <w:pStyle w:val="BodyText"/>
      </w:pPr>
      <w:r>
        <w:rPr>
          <w:b/>
          <w:bCs/>
        </w:rPr>
        <w:t xml:space="preserve">Phase 2 — Latent Period (childhood through mid-adulthood):</w:t>
      </w:r>
      <w:r>
        <w:t xml:space="preserve"> </w:t>
      </w:r>
      <w:r>
        <w:t xml:space="preserve">The epigenetic marks persist silently. The individual carries:</w:t>
      </w:r>
      <w:r>
        <w:t xml:space="preserve"> </w:t>
      </w:r>
      <w:r>
        <w:t xml:space="preserve">- A glycolytic bias (Warburg pre-programmed)</w:t>
      </w:r>
      <w:r>
        <w:t xml:space="preserve"> </w:t>
      </w:r>
      <w:r>
        <w:t xml:space="preserve">- Tumour-suppressor methylation (VHL, CDKN2A)</w:t>
      </w:r>
      <w:r>
        <w:t xml:space="preserve"> </w:t>
      </w:r>
      <w:r>
        <w:t xml:space="preserve">- miR-210 elevation (DNA repair impairment)</w:t>
      </w:r>
      <w:r>
        <w:t xml:space="preserve"> </w:t>
      </w:r>
      <w:r>
        <w:t xml:space="preserve">- Pro-angiogenic programming (VEGF pathway primed)</w:t>
      </w:r>
      <w:r>
        <w:t xml:space="preserve"> </w:t>
      </w:r>
      <w:r>
        <w:t xml:space="preserve">- Anti-apoptotic capacity (survivin, BNIP3L)</w:t>
      </w:r>
      <w:r>
        <w:t xml:space="preserve"> </w:t>
      </w:r>
      <w:r>
        <w:t xml:space="preserve">- In some cases, persistent undifferentiated progenitors (maturation-arrested cells)</w:t>
      </w:r>
    </w:p>
    <w:p>
      <w:pPr>
        <w:pStyle w:val="BodyText"/>
      </w:pPr>
      <w:r>
        <w:rPr>
          <w:b/>
          <w:bCs/>
        </w:rPr>
        <w:t xml:space="preserve">Phase 3 — Cancer Emergence (mid-adulthood onward):</w:t>
      </w:r>
      <w:r>
        <w:t xml:space="preserve"> </w:t>
      </w:r>
      <w:r>
        <w:t xml:space="preserve">A somatic mutation, environmental carcinogen, aging-related epigenetic drift, or immune decline provides the second hit. Because the epigenetic first hit is already in place, fewer somatic events are needed. The resulting cancer shows earlier onset, lower mutational burden, HIF-responsive tissue bias, and a distinct epigenetic profile.</w:t>
      </w:r>
    </w:p>
    <w:p>
      <w:r>
        <w:pict>
          <v:rect style="width:0;height:1.5pt" o:hralign="center" o:hrstd="t" o:hr="t"/>
        </w:pict>
      </w:r>
    </w:p>
    <w:bookmarkEnd w:id="46"/>
    <w:bookmarkStart w:id="47" w:name="why-this-was-not-seen-before"/>
    <w:p>
      <w:pPr>
        <w:pStyle w:val="Heading2"/>
      </w:pPr>
      <w:r>
        <w:t xml:space="preserve">14. Why This Was Not Seen Before</w:t>
      </w:r>
    </w:p>
    <w:p>
      <w:pPr>
        <w:pStyle w:val="FirstParagraph"/>
      </w:pPr>
      <w:r>
        <w:t xml:space="preserve">Five structural barriers have prevented this synthesis:</w:t>
      </w:r>
    </w:p>
    <w:p>
      <w:pPr>
        <w:numPr>
          <w:ilvl w:val="0"/>
          <w:numId w:val="1005"/>
        </w:numPr>
      </w:pPr>
      <w:r>
        <w:rPr>
          <w:b/>
          <w:bCs/>
        </w:rPr>
        <w:t xml:space="preserve">The cohorts were too young.</w:t>
      </w:r>
      <w:r>
        <w:t xml:space="preserve"> </w:t>
      </w:r>
      <w:r>
        <w:t xml:space="preserve">Preeclampsia survival and preterm survival have improved dramatically over the last 40 years. The first large cohorts of survivors are only now reaching cancer age.</w:t>
      </w:r>
    </w:p>
    <w:p>
      <w:pPr>
        <w:numPr>
          <w:ilvl w:val="0"/>
          <w:numId w:val="1005"/>
        </w:numPr>
      </w:pPr>
      <w:r>
        <w:rPr>
          <w:b/>
          <w:bCs/>
        </w:rPr>
        <w:t xml:space="preserve">Cancer and developmental medicine are siloed.</w:t>
      </w:r>
      <w:r>
        <w:t xml:space="preserve"> </w:t>
      </w:r>
      <w:r>
        <w:t xml:space="preserve">Obstetricians, neonatologists, neurodevelopmental paediatricians, and oncologists work in separate fields. The molecular common ground — HIF-1α — has not been connected across disciplines.</w:t>
      </w:r>
    </w:p>
    <w:p>
      <w:pPr>
        <w:numPr>
          <w:ilvl w:val="0"/>
          <w:numId w:val="1005"/>
        </w:numPr>
      </w:pPr>
      <w:r>
        <w:rPr>
          <w:b/>
          <w:bCs/>
        </w:rPr>
        <w:t xml:space="preserve">The Warburg effect was studied backwards.</w:t>
      </w:r>
      <w:r>
        <w:t xml:space="preserve"> </w:t>
      </w:r>
      <w:r>
        <w:t xml:space="preserve">Researchers asked</w:t>
      </w:r>
      <w:r>
        <w:t xml:space="preserve"> </w:t>
      </w:r>
      <w:r>
        <w:t xml:space="preserve">“why do cancer cells switch to glycolysis?”</w:t>
      </w:r>
      <w:r>
        <w:t xml:space="preserve"> </w:t>
      </w:r>
      <w:r>
        <w:t xml:space="preserve">instead of</w:t>
      </w:r>
      <w:r>
        <w:t xml:space="preserve"> </w:t>
      </w:r>
      <w:r>
        <w:t xml:space="preserve">“were they already glycolytic?”</w:t>
      </w:r>
    </w:p>
    <w:p>
      <w:pPr>
        <w:numPr>
          <w:ilvl w:val="0"/>
          <w:numId w:val="1005"/>
        </w:numPr>
      </w:pPr>
      <w:r>
        <w:rPr>
          <w:b/>
          <w:bCs/>
        </w:rPr>
        <w:t xml:space="preserve">Epigenetic cancer epidemiology barely exists.</w:t>
      </w:r>
      <w:r>
        <w:t xml:space="preserve"> </w:t>
      </w:r>
      <w:r>
        <w:t xml:space="preserve">Linking birth epigenetic data to adult cancer outcomes requires 40-60 year follow-up with archived biological samples. Such data is only now becoming available.</w:t>
      </w:r>
    </w:p>
    <w:p>
      <w:pPr>
        <w:numPr>
          <w:ilvl w:val="0"/>
          <w:numId w:val="1005"/>
        </w:numPr>
      </w:pPr>
      <w:r>
        <w:rPr>
          <w:b/>
          <w:bCs/>
        </w:rPr>
        <w:t xml:space="preserve">The developmental origins hypothesis focused elsewhere.</w:t>
      </w:r>
      <w:r>
        <w:t xml:space="preserve"> </w:t>
      </w:r>
      <w:r>
        <w:t xml:space="preserve">Barker’s DOHaD framework identified cardiovascular disease, type 2 diabetes, and metabolic syndrome as downstream consequences of developmental programming. Cancer was mentioned peripherally but never systematically investigated through the HIF-1α lens.</w:t>
      </w:r>
    </w:p>
    <w:p>
      <w:r>
        <w:pict>
          <v:rect style="width:0;height:1.5pt" o:hralign="center" o:hrstd="t" o:hr="t"/>
        </w:pict>
      </w:r>
    </w:p>
    <w:bookmarkEnd w:id="47"/>
    <w:bookmarkStart w:id="50" w:name="adversarial-stress-test"/>
    <w:p>
      <w:pPr>
        <w:pStyle w:val="Heading2"/>
      </w:pPr>
      <w:r>
        <w:t xml:space="preserve">15. Adversarial Stress Test</w:t>
      </w:r>
    </w:p>
    <w:bookmarkStart w:id="48" w:name="external-objections"/>
    <w:p>
      <w:pPr>
        <w:pStyle w:val="Heading3"/>
      </w:pPr>
      <w:r>
        <w:t xml:space="preserve">15.1 External Objections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Objection</w:t>
            </w:r>
          </w:p>
        </w:tc>
        <w:tc>
          <w:tcPr/>
          <w:p>
            <w:pPr>
              <w:pStyle w:val="Compact"/>
            </w:pPr>
            <w:r>
              <w:t xml:space="preserve">Severity</w:t>
            </w:r>
          </w:p>
        </w:tc>
        <w:tc>
          <w:tcPr/>
          <w:p>
            <w:pPr>
              <w:pStyle w:val="Compact"/>
            </w:pPr>
            <w:r>
              <w:t xml:space="preserve">Response</w:t>
            </w:r>
          </w:p>
        </w:tc>
      </w:tr>
      <w:tr>
        <w:tc>
          <w:tcPr/>
          <w:p>
            <w:pPr>
              <w:pStyle w:val="Compact"/>
            </w:pPr>
            <w:r>
              <w:t xml:space="preserve">“Gestational hypoxia is common — if it caused cancer, we’d see it”</w:t>
            </w:r>
          </w:p>
        </w:tc>
        <w:tc>
          <w:tcPr/>
          <w:p>
            <w:pPr>
              <w:pStyle w:val="Compact"/>
            </w:pPr>
            <w:r>
              <w:t xml:space="preserve">HIGH</w:t>
            </w:r>
          </w:p>
        </w:tc>
        <w:tc>
          <w:tcPr/>
          <w:p>
            <w:pPr>
              <w:pStyle w:val="Compact"/>
            </w:pPr>
            <w:r>
              <w:t xml:space="preserve">A modest increase (10-20%) in cancer risk would be obscured by cancer’s multifactorial nature. Additionally,</w:t>
            </w:r>
            <w:r>
              <w:t xml:space="preserve"> </w:t>
            </w:r>
            <w:r>
              <w:t xml:space="preserve">“we’d see it”</w:t>
            </w:r>
            <w:r>
              <w:t xml:space="preserve"> </w:t>
            </w:r>
            <w:r>
              <w:t xml:space="preserve">assumes someone has looked — birth-cancer registry linkage studies barely exist. The effect may be emerging now in aging preterm cohorts.</w:t>
            </w:r>
          </w:p>
        </w:tc>
      </w:tr>
      <w:tr>
        <w:tc>
          <w:tcPr/>
          <w:p>
            <w:pPr>
              <w:pStyle w:val="Compact"/>
            </w:pPr>
            <w:r>
              <w:t xml:space="preserve">“HIF-1α activation during development is normal — it’s required for organogenesis”</w:t>
            </w:r>
          </w:p>
        </w:tc>
        <w:tc>
          <w:tcPr/>
          <w:p>
            <w:pPr>
              <w:pStyle w:val="Compact"/>
            </w:pPr>
            <w:r>
              <w:t xml:space="preserve">HIGH</w:t>
            </w:r>
          </w:p>
        </w:tc>
        <w:tc>
          <w:tcPr/>
          <w:p>
            <w:pPr>
              <w:pStyle w:val="Compact"/>
            </w:pPr>
            <w:r>
              <w:t xml:space="preserve">Correct. The model specifies that</w:t>
            </w:r>
            <w:r>
              <w:t xml:space="preserve"> </w:t>
            </w:r>
            <w:r>
              <w:rPr>
                <w:i/>
                <w:iCs/>
              </w:rPr>
              <w:t xml:space="preserve">pathological</w:t>
            </w:r>
            <w:r>
              <w:t xml:space="preserve"> </w:t>
            </w:r>
            <w:r>
              <w:t xml:space="preserve">(sustained, excessive, dysregulated) HIF activation from placental insufficiency is the problem, not physiological. The distinction is duration and intensity, not presence/absence.</w:t>
            </w:r>
          </w:p>
        </w:tc>
      </w:tr>
      <w:tr>
        <w:tc>
          <w:tcPr/>
          <w:p>
            <w:pPr>
              <w:pStyle w:val="Compact"/>
            </w:pPr>
            <w:r>
              <w:t xml:space="preserve">“Epigenetic marks are reset after birth”</w:t>
            </w:r>
          </w:p>
        </w:tc>
        <w:tc>
          <w:tcPr/>
          <w:p>
            <w:pPr>
              <w:pStyle w:val="Compact"/>
            </w:pPr>
            <w:r>
              <w:t xml:space="preserve">MODERATE</w:t>
            </w:r>
          </w:p>
        </w:tc>
        <w:tc>
          <w:tcPr/>
          <w:p>
            <w:pPr>
              <w:pStyle w:val="Compact"/>
            </w:pPr>
            <w:r>
              <w:t xml:space="preserve">Some are, some aren’t. HIF3A methylation, metabolic gene methylation, and miR-210 expression changes persist into adulthood in multiple studies. Complete postnatal epigenetic erasure does not occur.</w:t>
            </w:r>
          </w:p>
        </w:tc>
      </w:tr>
      <w:tr>
        <w:tc>
          <w:tcPr/>
          <w:p>
            <w:pPr>
              <w:pStyle w:val="Compact"/>
            </w:pPr>
            <w:r>
              <w:t xml:space="preserve">“Cancer is genetic, not epigenetic”</w:t>
            </w:r>
          </w:p>
        </w:tc>
        <w:tc>
          <w:tcPr/>
          <w:p>
            <w:pPr>
              <w:pStyle w:val="Compact"/>
            </w:pPr>
            <w:r>
              <w:t xml:space="preserve">LOW</w:t>
            </w:r>
          </w:p>
        </w:tc>
        <w:tc>
          <w:tcPr/>
          <w:p>
            <w:pPr>
              <w:pStyle w:val="Compact"/>
            </w:pPr>
            <w:r>
              <w:t xml:space="preserve">Outdated. CpG Island Methylator Phenotypes (CIMP), VHL promoter methylation in ccRCC, and IDH-mutant epigenetic reprogramming all demonstrate that cancer is substantially epigenetic.</w:t>
            </w:r>
          </w:p>
        </w:tc>
      </w:tr>
      <w:tr>
        <w:tc>
          <w:tcPr/>
          <w:p>
            <w:pPr>
              <w:pStyle w:val="Compact"/>
            </w:pPr>
            <w:r>
              <w:t xml:space="preserve">“The effect size would be too small to detect”</w:t>
            </w:r>
          </w:p>
        </w:tc>
        <w:tc>
          <w:tcPr/>
          <w:p>
            <w:pPr>
              <w:pStyle w:val="Compact"/>
            </w:pPr>
            <w:r>
              <w:t xml:space="preserve">MODERATE</w:t>
            </w:r>
          </w:p>
        </w:tc>
        <w:tc>
          <w:tcPr/>
          <w:p>
            <w:pPr>
              <w:pStyle w:val="Compact"/>
            </w:pPr>
            <w:r>
              <w:t xml:space="preserve">The Nordic registries (Denmark, Sweden, Norway) contain millions of births linked to cancer registries. Even a 10-20% increase would be detectable at this scale with appropriate statistical power.</w:t>
            </w:r>
          </w:p>
        </w:tc>
      </w:tr>
      <w:tr>
        <w:tc>
          <w:tcPr/>
          <w:p>
            <w:pPr>
              <w:pStyle w:val="Compact"/>
            </w:pPr>
            <w:r>
              <w:t xml:space="preserve">“You’re describing correlation, not causation”</w:t>
            </w:r>
          </w:p>
        </w:tc>
        <w:tc>
          <w:tcPr/>
          <w:p>
            <w:pPr>
              <w:pStyle w:val="Compact"/>
            </w:pPr>
            <w:r>
              <w:t xml:space="preserve">MODERATE</w:t>
            </w:r>
          </w:p>
        </w:tc>
        <w:tc>
          <w:tcPr/>
          <w:p>
            <w:pPr>
              <w:pStyle w:val="Compact"/>
            </w:pPr>
            <w:r>
              <w:t xml:space="preserve">The mechanistic pathway is fully specified at the molecular level (HIF-1α → epigenetic changes → cancer hallmarks). Hill’s criteria are substantially met: biological plausibility, temporal sequence, dose-response, coherence, and specificity.</w:t>
            </w:r>
          </w:p>
        </w:tc>
      </w:tr>
      <w:tr>
        <w:tc>
          <w:tcPr/>
          <w:p>
            <w:pPr>
              <w:pStyle w:val="Compact"/>
            </w:pPr>
            <w:r>
              <w:t xml:space="preserve">“Animal models of gestational hypoxia don’t show increased cancer”</w:t>
            </w:r>
          </w:p>
        </w:tc>
        <w:tc>
          <w:tcPr/>
          <w:p>
            <w:pPr>
              <w:pStyle w:val="Compact"/>
            </w:pPr>
            <w:r>
              <w:t xml:space="preserve">MODERATE</w:t>
            </w:r>
          </w:p>
        </w:tc>
        <w:tc>
          <w:tcPr/>
          <w:p>
            <w:pPr>
              <w:pStyle w:val="Compact"/>
            </w:pPr>
            <w:r>
              <w:t xml:space="preserve">Most animal models use short follow-up. Mice live 2-3 years; cancer from gestational hypoxia would require lifetime follow-up equivalent to 40-70 human years. Few studies have done this. The data gap is absence of evidence, not evidence of absence.</w:t>
            </w:r>
          </w:p>
        </w:tc>
      </w:tr>
    </w:tbl>
    <w:bookmarkEnd w:id="48"/>
    <w:bookmarkStart w:id="49" w:name="self-identified-weaknesses"/>
    <w:p>
      <w:pPr>
        <w:pStyle w:val="Heading3"/>
      </w:pPr>
      <w:r>
        <w:t xml:space="preserve">15.2 Self-Identified Weaknesses</w:t>
      </w:r>
    </w:p>
    <w:p>
      <w:pPr>
        <w:numPr>
          <w:ilvl w:val="0"/>
          <w:numId w:val="1006"/>
        </w:numPr>
      </w:pPr>
      <w:r>
        <w:rPr>
          <w:b/>
          <w:bCs/>
        </w:rPr>
        <w:t xml:space="preserve">The greatest weakness is the absence of direct human data</w:t>
      </w:r>
      <w:r>
        <w:t xml:space="preserve"> </w:t>
      </w:r>
      <w:r>
        <w:t xml:space="preserve">linking gestational hypoxia exposure to adult cancer through epigenetic intermediaries. The mechanistic pathway is plausible but unvalidated.</w:t>
      </w:r>
    </w:p>
    <w:p>
      <w:pPr>
        <w:numPr>
          <w:ilvl w:val="0"/>
          <w:numId w:val="1006"/>
        </w:numPr>
      </w:pPr>
      <w:r>
        <w:rPr>
          <w:b/>
          <w:bCs/>
        </w:rPr>
        <w:t xml:space="preserve">The effect size is unknown.</w:t>
      </w:r>
      <w:r>
        <w:t xml:space="preserve"> </w:t>
      </w:r>
      <w:r>
        <w:t xml:space="preserve">Even if the mechanism operates, it may be clinically trivial — a 5% increase in cancer risk is mechanistically interesting but may not justify screening programmes.</w:t>
      </w:r>
    </w:p>
    <w:p>
      <w:pPr>
        <w:numPr>
          <w:ilvl w:val="0"/>
          <w:numId w:val="1006"/>
        </w:numPr>
      </w:pPr>
      <w:r>
        <w:rPr>
          <w:b/>
          <w:bCs/>
        </w:rPr>
        <w:t xml:space="preserve">Confounding is severe.</w:t>
      </w:r>
      <w:r>
        <w:t xml:space="preserve"> </w:t>
      </w:r>
      <w:r>
        <w:t xml:space="preserve">Preeclampsia and IUGR are associated with maternal obesity, hypertension, diabetes, smoking, and poverty — all independent cancer risk factors. Disentangling the HIF-specific contribution requires carefully designed studies.</w:t>
      </w:r>
    </w:p>
    <w:p>
      <w:pPr>
        <w:numPr>
          <w:ilvl w:val="0"/>
          <w:numId w:val="1006"/>
        </w:numPr>
      </w:pPr>
      <w:r>
        <w:rPr>
          <w:b/>
          <w:bCs/>
        </w:rPr>
        <w:t xml:space="preserve">Epigenetic marks are tissue-specific.</w:t>
      </w:r>
      <w:r>
        <w:t xml:space="preserve"> </w:t>
      </w:r>
      <w:r>
        <w:t xml:space="preserve">Cord blood methylation may not reflect what is occurring in the kidney, brain, or bone marrow. The relevant tissue is often inaccessible.</w:t>
      </w:r>
    </w:p>
    <w:p>
      <w:pPr>
        <w:numPr>
          <w:ilvl w:val="0"/>
          <w:numId w:val="1006"/>
        </w:numPr>
      </w:pPr>
      <w:r>
        <w:rPr>
          <w:b/>
          <w:bCs/>
        </w:rPr>
        <w:t xml:space="preserve">The Two-Step Warburg hypothesis is untested.</w:t>
      </w:r>
      <w:r>
        <w:t xml:space="preserve"> </w:t>
      </w:r>
      <w:r>
        <w:t xml:space="preserve">No study has yet asked whether the Warburg effect pre-exists in some cancer cells from birth.</w:t>
      </w:r>
    </w:p>
    <w:p>
      <w:r>
        <w:pict>
          <v:rect style="width:0;height:1.5pt" o:hralign="center" o:hrstd="t" o:hr="t"/>
        </w:pict>
      </w:r>
    </w:p>
    <w:bookmarkEnd w:id="49"/>
    <w:bookmarkEnd w:id="50"/>
    <w:bookmarkStart w:id="51" w:name="significance-statement"/>
    <w:p>
      <w:pPr>
        <w:pStyle w:val="Heading2"/>
      </w:pPr>
      <w:r>
        <w:t xml:space="preserve">16. Significance Statement</w:t>
      </w:r>
    </w:p>
    <w:p>
      <w:pPr>
        <w:pStyle w:val="FirstParagraph"/>
      </w:pPr>
      <w:r>
        <w:t xml:space="preserve">This paper identifies HIF-1α as a molecular bridge between gestational adversity and cancer predisposition — two fields that have operated independently despite sharing their central regulatory molecule. The HIF Epigenetic Priming Hypothesis provides a mechanistic framework for the developmental origins of cancer, generates testable predictions with existing datasets, and introduces two novel constructs (the Two-Step Warburg Hypothesis and the Extended Knudson Model) that challenge orthodox cancer biology. If validated, this framework would reposition gestational oxygen management as a cancer prevention strategy, enable epigenetic risk stratification at birth, and explain why the emerging cancer burden in aging LMIC populations may exceed what lifestyle factors alone can account for.</w:t>
      </w:r>
    </w:p>
    <w:p>
      <w:r>
        <w:pict>
          <v:rect style="width:0;height:1.5pt" o:hralign="center" o:hrstd="t" o:hr="t"/>
        </w:pict>
      </w:r>
    </w:p>
    <w:bookmarkEnd w:id="51"/>
    <w:bookmarkStart w:id="52" w:name="references"/>
    <w:p>
      <w:pPr>
        <w:pStyle w:val="Heading2"/>
      </w:pPr>
      <w:r>
        <w:t xml:space="preserve">References</w:t>
      </w:r>
    </w:p>
    <w:p>
      <w:pPr>
        <w:pStyle w:val="Compact"/>
        <w:numPr>
          <w:ilvl w:val="0"/>
          <w:numId w:val="1007"/>
        </w:numPr>
      </w:pPr>
      <w:r>
        <w:t xml:space="preserve">Ahlgren M et al. (2007).</w:t>
      </w:r>
      <w:r>
        <w:t xml:space="preserve"> </w:t>
      </w:r>
      <w:r>
        <w:t xml:space="preserve">“Birth weight and risk of cancer.”</w:t>
      </w:r>
      <w:r>
        <w:t xml:space="preserve"> </w:t>
      </w:r>
      <w:r>
        <w:rPr>
          <w:i/>
          <w:iCs/>
        </w:rPr>
        <w:t xml:space="preserve">Cancer</w:t>
      </w:r>
      <w:r>
        <w:t xml:space="preserve">, 110:412-419.</w:t>
      </w:r>
    </w:p>
    <w:p>
      <w:pPr>
        <w:pStyle w:val="Compact"/>
        <w:numPr>
          <w:ilvl w:val="0"/>
          <w:numId w:val="1007"/>
        </w:numPr>
      </w:pPr>
      <w:r>
        <w:t xml:space="preserve">An WG et al. (1998).</w:t>
      </w:r>
      <w:r>
        <w:t xml:space="preserve"> </w:t>
      </w:r>
      <w:r>
        <w:t xml:space="preserve">“Stabilization of wild-type p53 by hypoxia-inducible factor 1alpha.”</w:t>
      </w:r>
      <w:r>
        <w:t xml:space="preserve"> </w:t>
      </w:r>
      <w:r>
        <w:rPr>
          <w:i/>
          <w:iCs/>
        </w:rPr>
        <w:t xml:space="preserve">Nature</w:t>
      </w:r>
      <w:r>
        <w:t xml:space="preserve">, 392:405-408.</w:t>
      </w:r>
    </w:p>
    <w:p>
      <w:pPr>
        <w:pStyle w:val="Compact"/>
        <w:numPr>
          <w:ilvl w:val="0"/>
          <w:numId w:val="1007"/>
        </w:numPr>
      </w:pPr>
      <w:r>
        <w:t xml:space="preserve">Barsoum IB et al. (2014).</w:t>
      </w:r>
      <w:r>
        <w:t xml:space="preserve"> </w:t>
      </w:r>
      <w:r>
        <w:t xml:space="preserve">“A mechanism of hypoxia-mediated escape from adaptive immunity in cancer cells.”</w:t>
      </w:r>
      <w:r>
        <w:t xml:space="preserve"> </w:t>
      </w:r>
      <w:r>
        <w:rPr>
          <w:i/>
          <w:iCs/>
        </w:rPr>
        <w:t xml:space="preserve">Clin Exp Immunol</w:t>
      </w:r>
      <w:r>
        <w:t xml:space="preserve">, 178:542-552.</w:t>
      </w:r>
    </w:p>
    <w:p>
      <w:pPr>
        <w:pStyle w:val="Compact"/>
        <w:numPr>
          <w:ilvl w:val="0"/>
          <w:numId w:val="1007"/>
        </w:numPr>
      </w:pPr>
      <w:r>
        <w:t xml:space="preserve">Berra E et al. (2003).</w:t>
      </w:r>
      <w:r>
        <w:t xml:space="preserve"> </w:t>
      </w:r>
      <w:r>
        <w:t xml:space="preserve">“HIF prolyl-hydroxylase 2 is the key oxygen sensor.”</w:t>
      </w:r>
      <w:r>
        <w:t xml:space="preserve"> </w:t>
      </w:r>
      <w:r>
        <w:rPr>
          <w:i/>
          <w:iCs/>
        </w:rPr>
        <w:t xml:space="preserve">EMBO J</w:t>
      </w:r>
      <w:r>
        <w:t xml:space="preserve">, 22:4082-4090.</w:t>
      </w:r>
    </w:p>
    <w:p>
      <w:pPr>
        <w:pStyle w:val="Compact"/>
        <w:numPr>
          <w:ilvl w:val="0"/>
          <w:numId w:val="1007"/>
        </w:numPr>
      </w:pPr>
      <w:r>
        <w:t xml:space="preserve">Camps C et al. (2008).</w:t>
      </w:r>
      <w:r>
        <w:t xml:space="preserve"> </w:t>
      </w:r>
      <w:r>
        <w:t xml:space="preserve">“hsa-miR-210 is induced by hypoxia and is an independent prognostic factor in breast cancer.”</w:t>
      </w:r>
      <w:r>
        <w:t xml:space="preserve"> </w:t>
      </w:r>
      <w:r>
        <w:rPr>
          <w:i/>
          <w:iCs/>
        </w:rPr>
        <w:t xml:space="preserve">Clin Cancer Res</w:t>
      </w:r>
      <w:r>
        <w:t xml:space="preserve">, 14:1340-1348.</w:t>
      </w:r>
    </w:p>
    <w:p>
      <w:pPr>
        <w:pStyle w:val="Compact"/>
        <w:numPr>
          <w:ilvl w:val="0"/>
          <w:numId w:val="1007"/>
        </w:numPr>
      </w:pPr>
      <w:r>
        <w:t xml:space="preserve">Carpenter JA (2026a).</w:t>
      </w:r>
      <w:r>
        <w:t xml:space="preserve"> </w:t>
      </w:r>
      <w:r>
        <w:t xml:space="preserve">“Gestational oxygen-timing alignment and oligodendrocyte progenitor cell maturation arrest: a unifying hypothesis for autism spectrum disorder.”</w:t>
      </w:r>
      <w:r>
        <w:t xml:space="preserve"> </w:t>
      </w:r>
      <w:r>
        <w:t xml:space="preserve">Preprint, medRxiv.</w:t>
      </w:r>
    </w:p>
    <w:p>
      <w:pPr>
        <w:pStyle w:val="Compact"/>
        <w:numPr>
          <w:ilvl w:val="0"/>
          <w:numId w:val="1007"/>
        </w:numPr>
      </w:pPr>
      <w:r>
        <w:t xml:space="preserve">Carpenter JA (2026b).</w:t>
      </w:r>
      <w:r>
        <w:t xml:space="preserve"> </w:t>
      </w:r>
      <w:r>
        <w:t xml:space="preserve">“A multi-organ gestational oxygen-timing alignment model.”</w:t>
      </w:r>
      <w:r>
        <w:t xml:space="preserve"> </w:t>
      </w:r>
      <w:r>
        <w:t xml:space="preserve">Preprint.</w:t>
      </w:r>
    </w:p>
    <w:p>
      <w:pPr>
        <w:pStyle w:val="Compact"/>
        <w:numPr>
          <w:ilvl w:val="0"/>
          <w:numId w:val="1007"/>
        </w:numPr>
      </w:pPr>
      <w:r>
        <w:t xml:space="preserve">Caughey RW, Michels KB (2009).</w:t>
      </w:r>
      <w:r>
        <w:t xml:space="preserve"> </w:t>
      </w:r>
      <w:r>
        <w:t xml:space="preserve">“Birth weight and childhood leukemia: a meta-analysis.”</w:t>
      </w:r>
      <w:r>
        <w:t xml:space="preserve"> </w:t>
      </w:r>
      <w:r>
        <w:rPr>
          <w:i/>
          <w:iCs/>
        </w:rPr>
        <w:t xml:space="preserve">Int J Cancer</w:t>
      </w:r>
      <w:r>
        <w:t xml:space="preserve">, 124:2658-2670.</w:t>
      </w:r>
    </w:p>
    <w:p>
      <w:pPr>
        <w:pStyle w:val="Compact"/>
        <w:numPr>
          <w:ilvl w:val="0"/>
          <w:numId w:val="1007"/>
        </w:numPr>
      </w:pPr>
      <w:r>
        <w:t xml:space="preserve">Chen N et al. (2019).</w:t>
      </w:r>
      <w:r>
        <w:t xml:space="preserve"> </w:t>
      </w:r>
      <w:r>
        <w:t xml:space="preserve">“Roxadustat treatment for anemia in patients not receiving dialysis.”</w:t>
      </w:r>
      <w:r>
        <w:t xml:space="preserve"> </w:t>
      </w:r>
      <w:r>
        <w:rPr>
          <w:i/>
          <w:iCs/>
        </w:rPr>
        <w:t xml:space="preserve">NEJM</w:t>
      </w:r>
      <w:r>
        <w:t xml:space="preserve">, 381:1001-1010.</w:t>
      </w:r>
    </w:p>
    <w:p>
      <w:pPr>
        <w:pStyle w:val="Compact"/>
        <w:numPr>
          <w:ilvl w:val="0"/>
          <w:numId w:val="1007"/>
        </w:numPr>
      </w:pPr>
      <w:r>
        <w:t xml:space="preserve">Cnattingius S et al. (1995).</w:t>
      </w:r>
      <w:r>
        <w:t xml:space="preserve"> </w:t>
      </w:r>
      <w:r>
        <w:t xml:space="preserve">“Prenatal and neonatal risk factors for childhood myeloid leukemia.”</w:t>
      </w:r>
      <w:r>
        <w:t xml:space="preserve"> </w:t>
      </w:r>
      <w:r>
        <w:rPr>
          <w:i/>
          <w:iCs/>
        </w:rPr>
        <w:t xml:space="preserve">Cancer Epidemiol Biomarkers Prev</w:t>
      </w:r>
      <w:r>
        <w:t xml:space="preserve">, 4:441-445.</w:t>
      </w:r>
    </w:p>
    <w:p>
      <w:pPr>
        <w:pStyle w:val="Compact"/>
        <w:numPr>
          <w:ilvl w:val="0"/>
          <w:numId w:val="1007"/>
        </w:numPr>
      </w:pPr>
      <w:r>
        <w:t xml:space="preserve">Dang CV, Semenza GL (1999).</w:t>
      </w:r>
      <w:r>
        <w:t xml:space="preserve"> </w:t>
      </w:r>
      <w:r>
        <w:t xml:space="preserve">“Oncogenic alterations of metabolism.”</w:t>
      </w:r>
      <w:r>
        <w:t xml:space="preserve"> </w:t>
      </w:r>
      <w:r>
        <w:rPr>
          <w:i/>
          <w:iCs/>
        </w:rPr>
        <w:t xml:space="preserve">Trends Biochem Sci</w:t>
      </w:r>
      <w:r>
        <w:t xml:space="preserve">, 24:68-72.</w:t>
      </w:r>
    </w:p>
    <w:p>
      <w:pPr>
        <w:pStyle w:val="Compact"/>
        <w:numPr>
          <w:ilvl w:val="0"/>
          <w:numId w:val="1007"/>
        </w:numPr>
      </w:pPr>
      <w:r>
        <w:t xml:space="preserve">Forsythe JA et al. (1996).</w:t>
      </w:r>
      <w:r>
        <w:t xml:space="preserve"> </w:t>
      </w:r>
      <w:r>
        <w:t xml:space="preserve">“Activation of vascular endothelial growth factor gene transcription by hypoxia-inducible factor 1.”</w:t>
      </w:r>
      <w:r>
        <w:t xml:space="preserve"> </w:t>
      </w:r>
      <w:r>
        <w:rPr>
          <w:i/>
          <w:iCs/>
        </w:rPr>
        <w:t xml:space="preserve">Mol Cell Biol</w:t>
      </w:r>
      <w:r>
        <w:t xml:space="preserve">, 16:4604-4613.</w:t>
      </w:r>
    </w:p>
    <w:p>
      <w:pPr>
        <w:pStyle w:val="Compact"/>
        <w:numPr>
          <w:ilvl w:val="0"/>
          <w:numId w:val="1007"/>
        </w:numPr>
      </w:pPr>
      <w:r>
        <w:t xml:space="preserve">Galvao RP et al. (2014).</w:t>
      </w:r>
      <w:r>
        <w:t xml:space="preserve"> </w:t>
      </w:r>
      <w:r>
        <w:t xml:space="preserve">“Transformation of quiescent adult oligodendrocyte precursor cells into malignant glioma.”</w:t>
      </w:r>
      <w:r>
        <w:t xml:space="preserve"> </w:t>
      </w:r>
      <w:r>
        <w:rPr>
          <w:i/>
          <w:iCs/>
        </w:rPr>
        <w:t xml:space="preserve">PNAS</w:t>
      </w:r>
      <w:r>
        <w:t xml:space="preserve">, 111:E4214-E4223.</w:t>
      </w:r>
    </w:p>
    <w:p>
      <w:pPr>
        <w:pStyle w:val="Compact"/>
        <w:numPr>
          <w:ilvl w:val="0"/>
          <w:numId w:val="1007"/>
        </w:numPr>
      </w:pPr>
      <w:r>
        <w:t xml:space="preserve">Geismann C, Arlt A (2020).</w:t>
      </w:r>
      <w:r>
        <w:t xml:space="preserve"> </w:t>
      </w:r>
      <w:r>
        <w:t xml:space="preserve">“Hypoxia and epigenetics in cancer.”</w:t>
      </w:r>
      <w:r>
        <w:t xml:space="preserve"> </w:t>
      </w:r>
      <w:r>
        <w:rPr>
          <w:i/>
          <w:iCs/>
        </w:rPr>
        <w:t xml:space="preserve">Cells</w:t>
      </w:r>
      <w:r>
        <w:t xml:space="preserve">, 9:2353.</w:t>
      </w:r>
    </w:p>
    <w:p>
      <w:pPr>
        <w:pStyle w:val="Compact"/>
        <w:numPr>
          <w:ilvl w:val="0"/>
          <w:numId w:val="1007"/>
        </w:numPr>
      </w:pPr>
      <w:r>
        <w:t xml:space="preserve">Gossage L, Eisen T, Maher ER (2015).</w:t>
      </w:r>
      <w:r>
        <w:t xml:space="preserve"> </w:t>
      </w:r>
      <w:r>
        <w:t xml:space="preserve">“VHL, the story of a tumour suppressor gene.”</w:t>
      </w:r>
      <w:r>
        <w:t xml:space="preserve"> </w:t>
      </w:r>
      <w:r>
        <w:rPr>
          <w:i/>
          <w:iCs/>
        </w:rPr>
        <w:t xml:space="preserve">Nat Rev Cancer</w:t>
      </w:r>
      <w:r>
        <w:t xml:space="preserve">, 15:55-64.</w:t>
      </w:r>
    </w:p>
    <w:p>
      <w:pPr>
        <w:pStyle w:val="Compact"/>
        <w:numPr>
          <w:ilvl w:val="0"/>
          <w:numId w:val="1007"/>
        </w:numPr>
      </w:pPr>
      <w:r>
        <w:t xml:space="preserve">Greijer AE, van der Wall E (2004).</w:t>
      </w:r>
      <w:r>
        <w:t xml:space="preserve"> </w:t>
      </w:r>
      <w:r>
        <w:t xml:space="preserve">“The role of hypoxia inducible factor 1 (HIF-1) in hypoxia induced apoptosis.”</w:t>
      </w:r>
      <w:r>
        <w:t xml:space="preserve"> </w:t>
      </w:r>
      <w:r>
        <w:rPr>
          <w:i/>
          <w:iCs/>
        </w:rPr>
        <w:t xml:space="preserve">J Clin Pathol</w:t>
      </w:r>
      <w:r>
        <w:t xml:space="preserve">, 57:1009-1014.</w:t>
      </w:r>
    </w:p>
    <w:p>
      <w:pPr>
        <w:pStyle w:val="Compact"/>
        <w:numPr>
          <w:ilvl w:val="0"/>
          <w:numId w:val="1007"/>
        </w:numPr>
      </w:pPr>
      <w:r>
        <w:t xml:space="preserve">Hammond EM et al. (2002).</w:t>
      </w:r>
      <w:r>
        <w:t xml:space="preserve"> </w:t>
      </w:r>
      <w:r>
        <w:t xml:space="preserve">“Inhibition of ATR leads to increased sensitivity to hypoxia/reoxygenation.”</w:t>
      </w:r>
      <w:r>
        <w:t xml:space="preserve"> </w:t>
      </w:r>
      <w:r>
        <w:rPr>
          <w:i/>
          <w:iCs/>
        </w:rPr>
        <w:t xml:space="preserve">Mol Cell Biol</w:t>
      </w:r>
      <w:r>
        <w:t xml:space="preserve">, 22:1834-1843.</w:t>
      </w:r>
    </w:p>
    <w:p>
      <w:pPr>
        <w:pStyle w:val="Compact"/>
        <w:numPr>
          <w:ilvl w:val="0"/>
          <w:numId w:val="1007"/>
        </w:numPr>
      </w:pPr>
      <w:r>
        <w:t xml:space="preserve">Hanahan D, Weinberg RA (2011).</w:t>
      </w:r>
      <w:r>
        <w:t xml:space="preserve"> </w:t>
      </w:r>
      <w:r>
        <w:t xml:space="preserve">“Hallmarks of cancer: the next generation.”</w:t>
      </w:r>
      <w:r>
        <w:t xml:space="preserve"> </w:t>
      </w:r>
      <w:r>
        <w:rPr>
          <w:i/>
          <w:iCs/>
        </w:rPr>
        <w:t xml:space="preserve">Cell</w:t>
      </w:r>
      <w:r>
        <w:t xml:space="preserve">, 144:646-674.</w:t>
      </w:r>
    </w:p>
    <w:p>
      <w:pPr>
        <w:pStyle w:val="Compact"/>
        <w:numPr>
          <w:ilvl w:val="0"/>
          <w:numId w:val="1007"/>
        </w:numPr>
      </w:pPr>
      <w:r>
        <w:t xml:space="preserve">Herman JG et al. (1994).</w:t>
      </w:r>
      <w:r>
        <w:t xml:space="preserve"> </w:t>
      </w:r>
      <w:r>
        <w:t xml:space="preserve">“Silencing of the VHL tumor-suppressor gene by DNA methylation in renal carcinoma.”</w:t>
      </w:r>
      <w:r>
        <w:t xml:space="preserve"> </w:t>
      </w:r>
      <w:r>
        <w:rPr>
          <w:i/>
          <w:iCs/>
        </w:rPr>
        <w:t xml:space="preserve">PNAS</w:t>
      </w:r>
      <w:r>
        <w:t xml:space="preserve">, 91:9700-9704.</w:t>
      </w:r>
    </w:p>
    <w:p>
      <w:pPr>
        <w:pStyle w:val="Compact"/>
        <w:numPr>
          <w:ilvl w:val="0"/>
          <w:numId w:val="1007"/>
        </w:numPr>
      </w:pPr>
      <w:r>
        <w:t xml:space="preserve">Hohenstein P, Pritchard-Jones K, Charlton J (2015).</w:t>
      </w:r>
      <w:r>
        <w:t xml:space="preserve"> </w:t>
      </w:r>
      <w:r>
        <w:t xml:space="preserve">“The yin and yang of kidney development and Wilms’ tumours.”</w:t>
      </w:r>
      <w:r>
        <w:t xml:space="preserve"> </w:t>
      </w:r>
      <w:r>
        <w:rPr>
          <w:i/>
          <w:iCs/>
        </w:rPr>
        <w:t xml:space="preserve">Genes Dev</w:t>
      </w:r>
      <w:r>
        <w:t xml:space="preserve">, 29:467-482.</w:t>
      </w:r>
    </w:p>
    <w:p>
      <w:pPr>
        <w:pStyle w:val="Compact"/>
        <w:numPr>
          <w:ilvl w:val="0"/>
          <w:numId w:val="1007"/>
        </w:numPr>
      </w:pPr>
      <w:r>
        <w:t xml:space="preserve">Holmquist-Mengelbier L et al. (2006).</w:t>
      </w:r>
      <w:r>
        <w:t xml:space="preserve"> </w:t>
      </w:r>
      <w:r>
        <w:t xml:space="preserve">“Recruitment of HIF-1alpha and HIF-2alpha to common target genes in neuroblastoma.”</w:t>
      </w:r>
      <w:r>
        <w:t xml:space="preserve"> </w:t>
      </w:r>
      <w:r>
        <w:rPr>
          <w:i/>
          <w:iCs/>
        </w:rPr>
        <w:t xml:space="preserve">Cancer Res</w:t>
      </w:r>
      <w:r>
        <w:t xml:space="preserve">, 66:10846-10854.</w:t>
      </w:r>
    </w:p>
    <w:p>
      <w:pPr>
        <w:pStyle w:val="Compact"/>
        <w:numPr>
          <w:ilvl w:val="0"/>
          <w:numId w:val="1007"/>
        </w:numPr>
      </w:pPr>
      <w:r>
        <w:t xml:space="preserve">Huang LE et al. (1998).</w:t>
      </w:r>
      <w:r>
        <w:t xml:space="preserve"> </w:t>
      </w:r>
      <w:r>
        <w:t xml:space="preserve">“Regulation of HIF-1alpha is mediated by an O₂-dependent degradation domain.”</w:t>
      </w:r>
      <w:r>
        <w:t xml:space="preserve"> </w:t>
      </w:r>
      <w:r>
        <w:rPr>
          <w:i/>
          <w:iCs/>
        </w:rPr>
        <w:t xml:space="preserve">PNAS</w:t>
      </w:r>
      <w:r>
        <w:t xml:space="preserve">, 95:7987-7992.</w:t>
      </w:r>
    </w:p>
    <w:p>
      <w:pPr>
        <w:pStyle w:val="Compact"/>
        <w:numPr>
          <w:ilvl w:val="0"/>
          <w:numId w:val="1007"/>
        </w:numPr>
      </w:pPr>
      <w:r>
        <w:t xml:space="preserve">Huang X, Le QT, Giaccia AJ (2010).</w:t>
      </w:r>
      <w:r>
        <w:t xml:space="preserve"> </w:t>
      </w:r>
      <w:r>
        <w:t xml:space="preserve">“MiR-210 – micromanager of the hypoxia pathway.”</w:t>
      </w:r>
      <w:r>
        <w:t xml:space="preserve"> </w:t>
      </w:r>
      <w:r>
        <w:rPr>
          <w:i/>
          <w:iCs/>
        </w:rPr>
        <w:t xml:space="preserve">Trends Mol Med</w:t>
      </w:r>
      <w:r>
        <w:t xml:space="preserve">, 16:230-237.</w:t>
      </w:r>
    </w:p>
    <w:p>
      <w:pPr>
        <w:pStyle w:val="Compact"/>
        <w:numPr>
          <w:ilvl w:val="0"/>
          <w:numId w:val="1007"/>
        </w:numPr>
      </w:pPr>
      <w:r>
        <w:t xml:space="preserve">Ivan M et al. (2001).</w:t>
      </w:r>
      <w:r>
        <w:t xml:space="preserve"> </w:t>
      </w:r>
      <w:r>
        <w:t xml:space="preserve">“HIFalpha targeted for VHL-mediated destruction by proline hydroxylation.”</w:t>
      </w:r>
      <w:r>
        <w:t xml:space="preserve"> </w:t>
      </w:r>
      <w:r>
        <w:rPr>
          <w:i/>
          <w:iCs/>
        </w:rPr>
        <w:t xml:space="preserve">Science</w:t>
      </w:r>
      <w:r>
        <w:t xml:space="preserve">, 292:464-468.</w:t>
      </w:r>
    </w:p>
    <w:p>
      <w:pPr>
        <w:pStyle w:val="Compact"/>
        <w:numPr>
          <w:ilvl w:val="0"/>
          <w:numId w:val="1007"/>
        </w:numPr>
      </w:pPr>
      <w:r>
        <w:t xml:space="preserve">Jaakkola P et al. (2001).</w:t>
      </w:r>
      <w:r>
        <w:t xml:space="preserve"> </w:t>
      </w:r>
      <w:r>
        <w:t xml:space="preserve">“Targeting of HIF-alpha to the von Hippel-Lindau ubiquitylation complex by O2-regulated prolyl hydroxylation.”</w:t>
      </w:r>
      <w:r>
        <w:t xml:space="preserve"> </w:t>
      </w:r>
      <w:r>
        <w:rPr>
          <w:i/>
          <w:iCs/>
        </w:rPr>
        <w:t xml:space="preserve">Science</w:t>
      </w:r>
      <w:r>
        <w:t xml:space="preserve">, 292:468-472.</w:t>
      </w:r>
    </w:p>
    <w:p>
      <w:pPr>
        <w:pStyle w:val="Compact"/>
        <w:numPr>
          <w:ilvl w:val="0"/>
          <w:numId w:val="1007"/>
        </w:numPr>
      </w:pPr>
      <w:r>
        <w:t xml:space="preserve">Kajantie E et al. (2005).</w:t>
      </w:r>
      <w:r>
        <w:t xml:space="preserve"> </w:t>
      </w:r>
      <w:r>
        <w:t xml:space="preserve">“Pre-eclampsia is associated with increased risk of stroke in adult offspring.”</w:t>
      </w:r>
      <w:r>
        <w:t xml:space="preserve"> </w:t>
      </w:r>
      <w:r>
        <w:rPr>
          <w:i/>
          <w:iCs/>
        </w:rPr>
        <w:t xml:space="preserve">Stroke</w:t>
      </w:r>
      <w:r>
        <w:t xml:space="preserve">, 36:2514-2519.</w:t>
      </w:r>
    </w:p>
    <w:p>
      <w:pPr>
        <w:pStyle w:val="Compact"/>
        <w:numPr>
          <w:ilvl w:val="0"/>
          <w:numId w:val="1007"/>
        </w:numPr>
      </w:pPr>
      <w:r>
        <w:t xml:space="preserve">Knudson AG (1971).</w:t>
      </w:r>
      <w:r>
        <w:t xml:space="preserve"> </w:t>
      </w:r>
      <w:r>
        <w:t xml:space="preserve">“Mutation and cancer: statistical study of retinoblastoma.”</w:t>
      </w:r>
      <w:r>
        <w:t xml:space="preserve"> </w:t>
      </w:r>
      <w:r>
        <w:rPr>
          <w:i/>
          <w:iCs/>
        </w:rPr>
        <w:t xml:space="preserve">PNAS</w:t>
      </w:r>
      <w:r>
        <w:t xml:space="preserve">, 68:820-823.</w:t>
      </w:r>
    </w:p>
    <w:p>
      <w:pPr>
        <w:pStyle w:val="Compact"/>
        <w:numPr>
          <w:ilvl w:val="0"/>
          <w:numId w:val="1007"/>
        </w:numPr>
      </w:pPr>
      <w:r>
        <w:t xml:space="preserve">Lindberg N et al. (2009).</w:t>
      </w:r>
      <w:r>
        <w:t xml:space="preserve"> </w:t>
      </w:r>
      <w:r>
        <w:t xml:space="preserve">“Oligodendrocyte progenitor cells can act as cell of origin for experimental glioma.”</w:t>
      </w:r>
      <w:r>
        <w:t xml:space="preserve"> </w:t>
      </w:r>
      <w:r>
        <w:rPr>
          <w:i/>
          <w:iCs/>
        </w:rPr>
        <w:t xml:space="preserve">Oncogene</w:t>
      </w:r>
      <w:r>
        <w:t xml:space="preserve">, 28:2266-2275.</w:t>
      </w:r>
    </w:p>
    <w:p>
      <w:pPr>
        <w:pStyle w:val="Compact"/>
        <w:numPr>
          <w:ilvl w:val="0"/>
          <w:numId w:val="1007"/>
        </w:numPr>
      </w:pPr>
      <w:r>
        <w:t xml:space="preserve">Liu C et al. (2011).</w:t>
      </w:r>
      <w:r>
        <w:t xml:space="preserve"> </w:t>
      </w:r>
      <w:r>
        <w:t xml:space="preserve">“Mosaic analysis with double markers reveals tumor cell of origin in glioma.”</w:t>
      </w:r>
      <w:r>
        <w:t xml:space="preserve"> </w:t>
      </w:r>
      <w:r>
        <w:rPr>
          <w:i/>
          <w:iCs/>
        </w:rPr>
        <w:t xml:space="preserve">Cell</w:t>
      </w:r>
      <w:r>
        <w:t xml:space="preserve">, 146:209-221.</w:t>
      </w:r>
    </w:p>
    <w:p>
      <w:pPr>
        <w:pStyle w:val="Compact"/>
        <w:numPr>
          <w:ilvl w:val="0"/>
          <w:numId w:val="1007"/>
        </w:numPr>
      </w:pPr>
      <w:r>
        <w:t xml:space="preserve">Maris JM et al. (2007).</w:t>
      </w:r>
      <w:r>
        <w:t xml:space="preserve"> </w:t>
      </w:r>
      <w:r>
        <w:t xml:space="preserve">“Neuroblastoma.”</w:t>
      </w:r>
      <w:r>
        <w:t xml:space="preserve"> </w:t>
      </w:r>
      <w:r>
        <w:rPr>
          <w:i/>
          <w:iCs/>
        </w:rPr>
        <w:t xml:space="preserve">Lancet</w:t>
      </w:r>
      <w:r>
        <w:t xml:space="preserve">, 369:2106-2120.</w:t>
      </w:r>
    </w:p>
    <w:p>
      <w:pPr>
        <w:pStyle w:val="Compact"/>
        <w:numPr>
          <w:ilvl w:val="0"/>
          <w:numId w:val="1007"/>
        </w:numPr>
      </w:pPr>
      <w:r>
        <w:t xml:space="preserve">Maxwell PH et al. (1999).</w:t>
      </w:r>
      <w:r>
        <w:t xml:space="preserve"> </w:t>
      </w:r>
      <w:r>
        <w:t xml:space="preserve">“The tumour suppressor protein VHL targets hypoxia-inducible factors for oxygen-dependent proteolysis.”</w:t>
      </w:r>
      <w:r>
        <w:t xml:space="preserve"> </w:t>
      </w:r>
      <w:r>
        <w:rPr>
          <w:i/>
          <w:iCs/>
        </w:rPr>
        <w:t xml:space="preserve">Nature</w:t>
      </w:r>
      <w:r>
        <w:t xml:space="preserve">, 399:271-275.</w:t>
      </w:r>
    </w:p>
    <w:p>
      <w:pPr>
        <w:pStyle w:val="Compact"/>
        <w:numPr>
          <w:ilvl w:val="0"/>
          <w:numId w:val="1007"/>
        </w:numPr>
      </w:pPr>
      <w:r>
        <w:t xml:space="preserve">Michels KB, Xue F (2006).</w:t>
      </w:r>
      <w:r>
        <w:t xml:space="preserve"> </w:t>
      </w:r>
      <w:r>
        <w:t xml:space="preserve">“Role of birthweight in the etiology of breast cancer.”</w:t>
      </w:r>
      <w:r>
        <w:t xml:space="preserve"> </w:t>
      </w:r>
      <w:r>
        <w:rPr>
          <w:i/>
          <w:iCs/>
        </w:rPr>
        <w:t xml:space="preserve">Int J Cancer</w:t>
      </w:r>
      <w:r>
        <w:t xml:space="preserve">, 119:2007-2025.</w:t>
      </w:r>
    </w:p>
    <w:p>
      <w:pPr>
        <w:pStyle w:val="Compact"/>
        <w:numPr>
          <w:ilvl w:val="0"/>
          <w:numId w:val="1007"/>
        </w:numPr>
      </w:pPr>
      <w:r>
        <w:t xml:space="preserve">Nickerson ML et al. (2008).</w:t>
      </w:r>
      <w:r>
        <w:t xml:space="preserve"> </w:t>
      </w:r>
      <w:r>
        <w:t xml:space="preserve">“Improved identification of von Hippel-Lindau gene alterations in clear cell renal tumors.”</w:t>
      </w:r>
      <w:r>
        <w:t xml:space="preserve"> </w:t>
      </w:r>
      <w:r>
        <w:rPr>
          <w:i/>
          <w:iCs/>
        </w:rPr>
        <w:t xml:space="preserve">Cancer Res</w:t>
      </w:r>
      <w:r>
        <w:t xml:space="preserve">, 68:4395-4405.</w:t>
      </w:r>
    </w:p>
    <w:p>
      <w:pPr>
        <w:pStyle w:val="Compact"/>
        <w:numPr>
          <w:ilvl w:val="0"/>
          <w:numId w:val="1007"/>
        </w:numPr>
      </w:pPr>
      <w:r>
        <w:t xml:space="preserve">Nishi H et al. (2004).</w:t>
      </w:r>
      <w:r>
        <w:t xml:space="preserve"> </w:t>
      </w:r>
      <w:r>
        <w:t xml:space="preserve">“Hypoxia-inducible factor 1 mediates upregulation of telomerase (hTERT).”</w:t>
      </w:r>
      <w:r>
        <w:t xml:space="preserve"> </w:t>
      </w:r>
      <w:r>
        <w:rPr>
          <w:i/>
          <w:iCs/>
        </w:rPr>
        <w:t xml:space="preserve">Mol Cell Biol</w:t>
      </w:r>
      <w:r>
        <w:t xml:space="preserve">, 24:6076-6083.</w:t>
      </w:r>
    </w:p>
    <w:p>
      <w:pPr>
        <w:pStyle w:val="Compact"/>
        <w:numPr>
          <w:ilvl w:val="0"/>
          <w:numId w:val="1007"/>
        </w:numPr>
      </w:pPr>
      <w:r>
        <w:t xml:space="preserve">O’Neill KA et al. (2015).</w:t>
      </w:r>
      <w:r>
        <w:t xml:space="preserve"> </w:t>
      </w:r>
      <w:r>
        <w:t xml:space="preserve">“Infant birthweight and risk of childhood cancer.”</w:t>
      </w:r>
      <w:r>
        <w:t xml:space="preserve"> </w:t>
      </w:r>
      <w:r>
        <w:rPr>
          <w:i/>
          <w:iCs/>
        </w:rPr>
        <w:t xml:space="preserve">Int J Epidemiol</w:t>
      </w:r>
      <w:r>
        <w:t xml:space="preserve">, 44:153-168.</w:t>
      </w:r>
    </w:p>
    <w:p>
      <w:pPr>
        <w:pStyle w:val="Compact"/>
        <w:numPr>
          <w:ilvl w:val="0"/>
          <w:numId w:val="1007"/>
        </w:numPr>
      </w:pPr>
      <w:r>
        <w:t xml:space="preserve">Pietras A et al. (2009).</w:t>
      </w:r>
      <w:r>
        <w:t xml:space="preserve"> </w:t>
      </w:r>
      <w:r>
        <w:t xml:space="preserve">“High levels of HIF-2alpha highlight an immature neural crest-like neuroblastoma cell cohort.”</w:t>
      </w:r>
      <w:r>
        <w:t xml:space="preserve"> </w:t>
      </w:r>
      <w:r>
        <w:rPr>
          <w:i/>
          <w:iCs/>
        </w:rPr>
        <w:t xml:space="preserve">J Pathol</w:t>
      </w:r>
      <w:r>
        <w:t xml:space="preserve">, 218:29-36.</w:t>
      </w:r>
    </w:p>
    <w:p>
      <w:pPr>
        <w:pStyle w:val="Compact"/>
        <w:numPr>
          <w:ilvl w:val="0"/>
          <w:numId w:val="1007"/>
        </w:numPr>
      </w:pPr>
      <w:r>
        <w:t xml:space="preserve">Podvin D et al. (2006).</w:t>
      </w:r>
      <w:r>
        <w:t xml:space="preserve"> </w:t>
      </w:r>
      <w:r>
        <w:t xml:space="preserve">“Maternal and birth characteristics in relation to childhood leukaemia.”</w:t>
      </w:r>
      <w:r>
        <w:t xml:space="preserve"> </w:t>
      </w:r>
      <w:r>
        <w:rPr>
          <w:i/>
          <w:iCs/>
        </w:rPr>
        <w:t xml:space="preserve">Paediatric Perinatal Epidemiol</w:t>
      </w:r>
      <w:r>
        <w:t xml:space="preserve">, 20:312-322.</w:t>
      </w:r>
    </w:p>
    <w:p>
      <w:pPr>
        <w:pStyle w:val="Compact"/>
        <w:numPr>
          <w:ilvl w:val="0"/>
          <w:numId w:val="1007"/>
        </w:numPr>
      </w:pPr>
      <w:r>
        <w:t xml:space="preserve">Puisségur MP et al. (2011).</w:t>
      </w:r>
      <w:r>
        <w:t xml:space="preserve"> </w:t>
      </w:r>
      <w:r>
        <w:t xml:space="preserve">“miR-210 is overexpressed in late stages of lung cancer.”</w:t>
      </w:r>
      <w:r>
        <w:t xml:space="preserve"> </w:t>
      </w:r>
      <w:r>
        <w:rPr>
          <w:i/>
          <w:iCs/>
        </w:rPr>
        <w:t xml:space="preserve">Cancer Res</w:t>
      </w:r>
      <w:r>
        <w:t xml:space="preserve">, 71:3255-3265.</w:t>
      </w:r>
    </w:p>
    <w:p>
      <w:pPr>
        <w:pStyle w:val="Compact"/>
        <w:numPr>
          <w:ilvl w:val="0"/>
          <w:numId w:val="1007"/>
        </w:numPr>
      </w:pPr>
      <w:r>
        <w:t xml:space="preserve">Rius J et al. (2008).</w:t>
      </w:r>
      <w:r>
        <w:t xml:space="preserve"> </w:t>
      </w:r>
      <w:r>
        <w:t xml:space="preserve">“NF-kappaB links innate immunity to the hypoxic response through transcriptional regulation of HIF-1alpha.”</w:t>
      </w:r>
      <w:r>
        <w:t xml:space="preserve"> </w:t>
      </w:r>
      <w:r>
        <w:rPr>
          <w:i/>
          <w:iCs/>
        </w:rPr>
        <w:t xml:space="preserve">Nature</w:t>
      </w:r>
      <w:r>
        <w:t xml:space="preserve">, 453:807-811.</w:t>
      </w:r>
    </w:p>
    <w:p>
      <w:pPr>
        <w:pStyle w:val="Compact"/>
        <w:numPr>
          <w:ilvl w:val="0"/>
          <w:numId w:val="1007"/>
        </w:numPr>
      </w:pPr>
      <w:r>
        <w:t xml:space="preserve">Risnes KR et al. (2011).</w:t>
      </w:r>
      <w:r>
        <w:t xml:space="preserve"> </w:t>
      </w:r>
      <w:r>
        <w:t xml:space="preserve">“Birthweight and mortality in adulthood: a systematic review.”</w:t>
      </w:r>
      <w:r>
        <w:t xml:space="preserve"> </w:t>
      </w:r>
      <w:r>
        <w:rPr>
          <w:i/>
          <w:iCs/>
        </w:rPr>
        <w:t xml:space="preserve">Int J Epidemiol</w:t>
      </w:r>
      <w:r>
        <w:t xml:space="preserve">, 40:647-661.</w:t>
      </w:r>
    </w:p>
    <w:p>
      <w:pPr>
        <w:pStyle w:val="Compact"/>
        <w:numPr>
          <w:ilvl w:val="0"/>
          <w:numId w:val="1007"/>
        </w:numPr>
      </w:pPr>
      <w:r>
        <w:t xml:space="preserve">Semenza GL (2003).</w:t>
      </w:r>
      <w:r>
        <w:t xml:space="preserve"> </w:t>
      </w:r>
      <w:r>
        <w:t xml:space="preserve">“Targeting HIF-1 for cancer therapy.”</w:t>
      </w:r>
      <w:r>
        <w:t xml:space="preserve"> </w:t>
      </w:r>
      <w:r>
        <w:rPr>
          <w:i/>
          <w:iCs/>
        </w:rPr>
        <w:t xml:space="preserve">Nat Rev Cancer</w:t>
      </w:r>
      <w:r>
        <w:t xml:space="preserve">, 3:721-732.</w:t>
      </w:r>
    </w:p>
    <w:p>
      <w:pPr>
        <w:pStyle w:val="Compact"/>
        <w:numPr>
          <w:ilvl w:val="0"/>
          <w:numId w:val="1007"/>
        </w:numPr>
      </w:pPr>
      <w:r>
        <w:t xml:space="preserve">Simmons RA et al. (2001).</w:t>
      </w:r>
      <w:r>
        <w:t xml:space="preserve"> </w:t>
      </w:r>
      <w:r>
        <w:t xml:space="preserve">“Intrauterine growth retardation leads to the development of type 2 diabetes in the rat.”</w:t>
      </w:r>
      <w:r>
        <w:t xml:space="preserve"> </w:t>
      </w:r>
      <w:r>
        <w:rPr>
          <w:i/>
          <w:iCs/>
        </w:rPr>
        <w:t xml:space="preserve">Diabetes</w:t>
      </w:r>
      <w:r>
        <w:t xml:space="preserve">, 50:2279-2286.</w:t>
      </w:r>
    </w:p>
    <w:p>
      <w:pPr>
        <w:pStyle w:val="Compact"/>
        <w:numPr>
          <w:ilvl w:val="0"/>
          <w:numId w:val="1007"/>
        </w:numPr>
      </w:pPr>
      <w:r>
        <w:t xml:space="preserve">Trichopoulos D (1990).</w:t>
      </w:r>
      <w:r>
        <w:t xml:space="preserve"> </w:t>
      </w:r>
      <w:r>
        <w:t xml:space="preserve">“Hypothesis: does breast cancer originate in utero?”</w:t>
      </w:r>
      <w:r>
        <w:t xml:space="preserve"> </w:t>
      </w:r>
      <w:r>
        <w:rPr>
          <w:i/>
          <w:iCs/>
        </w:rPr>
        <w:t xml:space="preserve">Lancet</w:t>
      </w:r>
      <w:r>
        <w:t xml:space="preserve">, 335:939-940.</w:t>
      </w:r>
    </w:p>
    <w:p>
      <w:pPr>
        <w:pStyle w:val="Compact"/>
        <w:numPr>
          <w:ilvl w:val="0"/>
          <w:numId w:val="1007"/>
        </w:numPr>
      </w:pPr>
      <w:r>
        <w:t xml:space="preserve">Warburg O (1956).</w:t>
      </w:r>
      <w:r>
        <w:t xml:space="preserve"> </w:t>
      </w:r>
      <w:r>
        <w:t xml:space="preserve">“On the origin of cancer cells.”</w:t>
      </w:r>
      <w:r>
        <w:t xml:space="preserve"> </w:t>
      </w:r>
      <w:r>
        <w:rPr>
          <w:i/>
          <w:iCs/>
        </w:rPr>
        <w:t xml:space="preserve">Science</w:t>
      </w:r>
      <w:r>
        <w:t xml:space="preserve">, 123:309-314.</w:t>
      </w:r>
    </w:p>
    <w:p>
      <w:pPr>
        <w:pStyle w:val="Compact"/>
        <w:numPr>
          <w:ilvl w:val="0"/>
          <w:numId w:val="1007"/>
        </w:numPr>
      </w:pPr>
      <w:r>
        <w:t xml:space="preserve">Yan H et al. (2009).</w:t>
      </w:r>
      <w:r>
        <w:t xml:space="preserve"> </w:t>
      </w:r>
      <w:r>
        <w:t xml:space="preserve">“IDH1 and IDH2 mutations in gliomas.”</w:t>
      </w:r>
      <w:r>
        <w:t xml:space="preserve"> </w:t>
      </w:r>
      <w:r>
        <w:rPr>
          <w:i/>
          <w:iCs/>
        </w:rPr>
        <w:t xml:space="preserve">NEJM</w:t>
      </w:r>
      <w:r>
        <w:t xml:space="preserve">, 360:765-773.</w:t>
      </w:r>
    </w:p>
    <w:p>
      <w:pPr>
        <w:pStyle w:val="Compact"/>
        <w:numPr>
          <w:ilvl w:val="0"/>
          <w:numId w:val="1007"/>
        </w:numPr>
      </w:pPr>
      <w:r>
        <w:t xml:space="preserve">Yang MH et al. (2008).</w:t>
      </w:r>
      <w:r>
        <w:t xml:space="preserve"> </w:t>
      </w:r>
      <w:r>
        <w:t xml:space="preserve">“Direct regulation of TWIST by HIF-1alpha promotes metastasis.”</w:t>
      </w:r>
      <w:r>
        <w:t xml:space="preserve"> </w:t>
      </w:r>
      <w:r>
        <w:rPr>
          <w:i/>
          <w:iCs/>
        </w:rPr>
        <w:t xml:space="preserve">Nat Cell Biol</w:t>
      </w:r>
      <w:r>
        <w:t xml:space="preserve">, 10:295-305.</w:t>
      </w:r>
    </w:p>
    <w:p>
      <w:pPr>
        <w:pStyle w:val="Compact"/>
        <w:numPr>
          <w:ilvl w:val="0"/>
          <w:numId w:val="1007"/>
        </w:numPr>
      </w:pPr>
      <w:r>
        <w:t xml:space="preserve">Zar Kyaw T et al. (2019).</w:t>
      </w:r>
      <w:r>
        <w:t xml:space="preserve"> </w:t>
      </w:r>
      <w:r>
        <w:t xml:space="preserve">“HIF3A methylation in newborn blood spots.”</w:t>
      </w:r>
      <w:r>
        <w:t xml:space="preserve"> </w:t>
      </w:r>
      <w:r>
        <w:rPr>
          <w:i/>
          <w:iCs/>
        </w:rPr>
        <w:t xml:space="preserve">J Hum Genet</w:t>
      </w:r>
      <w:r>
        <w:t xml:space="preserve">, 64:795-801.</w:t>
      </w:r>
    </w:p>
    <w:p>
      <w:pPr>
        <w:pStyle w:val="Compact"/>
        <w:numPr>
          <w:ilvl w:val="0"/>
          <w:numId w:val="1007"/>
        </w:numPr>
      </w:pPr>
      <w:r>
        <w:t xml:space="preserve">Innes K, Byers T, Schymura M (2000).</w:t>
      </w:r>
      <w:r>
        <w:t xml:space="preserve"> </w:t>
      </w:r>
      <w:r>
        <w:t xml:space="preserve">“Birth characteristics and subsequent risk for breast cancer in very young women.”</w:t>
      </w:r>
      <w:r>
        <w:t xml:space="preserve"> </w:t>
      </w:r>
      <w:r>
        <w:rPr>
          <w:i/>
          <w:iCs/>
        </w:rPr>
        <w:t xml:space="preserve">Am J Epidemiol</w:t>
      </w:r>
      <w:r>
        <w:t xml:space="preserve">, 152:1121-1128.</w:t>
      </w:r>
    </w:p>
    <w:p>
      <w:pPr>
        <w:pStyle w:val="Compact"/>
        <w:numPr>
          <w:ilvl w:val="0"/>
          <w:numId w:val="1007"/>
        </w:numPr>
      </w:pPr>
      <w:r>
        <w:t xml:space="preserve">Barker DJ (2004).</w:t>
      </w:r>
      <w:r>
        <w:t xml:space="preserve"> </w:t>
      </w:r>
      <w:r>
        <w:t xml:space="preserve">“The developmental origins of adult disease.”</w:t>
      </w:r>
      <w:r>
        <w:t xml:space="preserve"> </w:t>
      </w:r>
      <w:r>
        <w:rPr>
          <w:i/>
          <w:iCs/>
        </w:rPr>
        <w:t xml:space="preserve">J Am Coll Nutr</w:t>
      </w:r>
      <w:r>
        <w:t xml:space="preserve">, 23:588S-595S.</w:t>
      </w:r>
    </w:p>
    <w:p>
      <w:pPr>
        <w:pStyle w:val="Compact"/>
        <w:numPr>
          <w:ilvl w:val="0"/>
          <w:numId w:val="1007"/>
        </w:numPr>
      </w:pPr>
      <w:r>
        <w:t xml:space="preserve">Takubo K et al. (2010).</w:t>
      </w:r>
      <w:r>
        <w:t xml:space="preserve"> </w:t>
      </w:r>
      <w:r>
        <w:t xml:space="preserve">“Regulation of the HIF-1alpha level is essential for hematopoietic stem cells.”</w:t>
      </w:r>
      <w:r>
        <w:t xml:space="preserve"> </w:t>
      </w:r>
      <w:r>
        <w:rPr>
          <w:i/>
          <w:iCs/>
        </w:rPr>
        <w:t xml:space="preserve">Cell Stem Cell</w:t>
      </w:r>
      <w:r>
        <w:t xml:space="preserve">, 7:391-402.</w:t>
      </w:r>
    </w:p>
    <w:p>
      <w:pPr>
        <w:pStyle w:val="Compact"/>
        <w:numPr>
          <w:ilvl w:val="0"/>
          <w:numId w:val="1007"/>
        </w:numPr>
      </w:pPr>
      <w:r>
        <w:t xml:space="preserve">Simsek T et al. (2010).</w:t>
      </w:r>
      <w:r>
        <w:t xml:space="preserve"> </w:t>
      </w:r>
      <w:r>
        <w:t xml:space="preserve">“The distinct metabolic profile of hematopoietic stem cells reflects their location in a hypoxic niche.”</w:t>
      </w:r>
      <w:r>
        <w:t xml:space="preserve"> </w:t>
      </w:r>
      <w:r>
        <w:rPr>
          <w:i/>
          <w:iCs/>
        </w:rPr>
        <w:t xml:space="preserve">Cell Stem Cell</w:t>
      </w:r>
      <w:r>
        <w:t xml:space="preserve">, 7:380-390.</w:t>
      </w:r>
    </w:p>
    <w:p>
      <w:pPr>
        <w:pStyle w:val="Compact"/>
        <w:numPr>
          <w:ilvl w:val="0"/>
          <w:numId w:val="1007"/>
        </w:numPr>
      </w:pPr>
      <w:r>
        <w:t xml:space="preserve">Ostrom QT et al. (2022).</w:t>
      </w:r>
      <w:r>
        <w:t xml:space="preserve"> </w:t>
      </w:r>
      <w:r>
        <w:t xml:space="preserve">“CBTRUS Statistical Report: Primary Brain and Other CNS Tumors.”</w:t>
      </w:r>
      <w:r>
        <w:t xml:space="preserve"> </w:t>
      </w:r>
      <w:r>
        <w:rPr>
          <w:i/>
          <w:iCs/>
        </w:rPr>
        <w:t xml:space="preserve">Neuro Oncol</w:t>
      </w:r>
      <w:r>
        <w:t xml:space="preserve">, 24(Suppl 5):v1-v95.</w:t>
      </w:r>
    </w:p>
    <w:p>
      <w:pPr>
        <w:pStyle w:val="Compact"/>
        <w:numPr>
          <w:ilvl w:val="0"/>
          <w:numId w:val="1007"/>
        </w:numPr>
      </w:pPr>
      <w:r>
        <w:t xml:space="preserve">Crump C et al. (2019).</w:t>
      </w:r>
      <w:r>
        <w:t xml:space="preserve"> </w:t>
      </w:r>
      <w:r>
        <w:t xml:space="preserve">“Preterm birth and risk of chronic kidney disease.”</w:t>
      </w:r>
      <w:r>
        <w:t xml:space="preserve"> </w:t>
      </w:r>
      <w:r>
        <w:rPr>
          <w:i/>
          <w:iCs/>
        </w:rPr>
        <w:t xml:space="preserve">BMJ</w:t>
      </w:r>
      <w:r>
        <w:t xml:space="preserve">, 365:l1346.</w:t>
      </w:r>
    </w:p>
    <w:p>
      <w:pPr>
        <w:pStyle w:val="Compact"/>
        <w:numPr>
          <w:ilvl w:val="0"/>
          <w:numId w:val="1007"/>
        </w:numPr>
      </w:pPr>
      <w:r>
        <w:t xml:space="preserve">Appelhoff RJ et al. (2004).</w:t>
      </w:r>
      <w:r>
        <w:t xml:space="preserve"> </w:t>
      </w:r>
      <w:r>
        <w:t xml:space="preserve">“Differential function of the prolyl hydroxylases PHD1, PHD2, and PHD3.”</w:t>
      </w:r>
      <w:r>
        <w:t xml:space="preserve"> </w:t>
      </w:r>
      <w:r>
        <w:rPr>
          <w:i/>
          <w:iCs/>
        </w:rPr>
        <w:t xml:space="preserve">J Biol Chem</w:t>
      </w:r>
      <w:r>
        <w:t xml:space="preserve">, 279:38458-38465.</w:t>
      </w:r>
    </w:p>
    <w:p>
      <w:pPr>
        <w:pStyle w:val="Compact"/>
        <w:numPr>
          <w:ilvl w:val="0"/>
          <w:numId w:val="1007"/>
        </w:numPr>
      </w:pPr>
      <w:r>
        <w:t xml:space="preserve">Bethke L et al. (2008).</w:t>
      </w:r>
      <w:r>
        <w:t xml:space="preserve"> </w:t>
      </w:r>
      <w:r>
        <w:t xml:space="preserve">“Birthweight and risk of adult primary brain tumor.”</w:t>
      </w:r>
      <w:r>
        <w:t xml:space="preserve"> </w:t>
      </w:r>
      <w:r>
        <w:rPr>
          <w:i/>
          <w:iCs/>
        </w:rPr>
        <w:t xml:space="preserve">Cancer Epidemiol Biomarkers Prev</w:t>
      </w:r>
      <w:r>
        <w:t xml:space="preserve">, 17:1590-1598.</w:t>
      </w:r>
    </w:p>
    <w:p>
      <w:r>
        <w:pict>
          <v:rect style="width:0;height:1.5pt" o:hralign="center" o:hrstd="t" o:hr="t"/>
        </w:pict>
      </w:r>
    </w:p>
    <w:p>
      <w:pPr>
        <w:pStyle w:val="FirstParagraph"/>
      </w:pPr>
      <w:r>
        <w:rPr>
          <w:i/>
          <w:iCs/>
        </w:rPr>
        <w:t xml:space="preserve">This preprint has not undergone peer review. The hypothesis presented is falsifiable and designed to generate testable predictions. All citations are to peer-reviewed, PubMed-indexed publications. No citation is fabricated.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2026-03-05T02:09:46Z</dcterms:created>
  <dcterms:modified xsi:type="dcterms:W3CDTF">2026-03-05T02:09:46Z</dcterms:modified>
</cp:coreProperties>
</file>

<file path=docProps/custom.xml><?xml version="1.0" encoding="utf-8"?>
<Properties xmlns="http://schemas.openxmlformats.org/officeDocument/2006/custom-properties" xmlns:vt="http://schemas.openxmlformats.org/officeDocument/2006/docPropsVTypes"/>
</file>