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0a98bf0c5b1e3286fa74d5d12dc8a3946eba071"/>
    <w:p>
      <w:pPr>
        <w:pStyle w:val="Heading1"/>
      </w:pPr>
      <w:r>
        <w:t xml:space="preserve">Therapeutic Convergence on the Oxygen–Oligodendrocyte Axis: Eleven Pharmacologically Diverse Treatments Share a Common Mechanistic Target</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rejected by medRxiv (out of scope)</w:t>
      </w:r>
    </w:p>
    <w:p>
      <w:r>
        <w:pict>
          <v:rect style="width:0;height:1.5pt" o:hralign="center" o:hrstd="t" o:hr="t"/>
        </w:pict>
      </w:r>
    </w:p>
    <w:bookmarkEnd w:id="9"/>
    <w:bookmarkStart w:id="10" w:name="abstract"/>
    <w:p>
      <w:pPr>
        <w:pStyle w:val="Heading2"/>
      </w:pPr>
      <w:r>
        <w:t xml:space="preserve">Abstract</w:t>
      </w:r>
    </w:p>
    <w:p>
      <w:pPr>
        <w:pStyle w:val="FirstParagraph"/>
      </w:pPr>
      <w:r>
        <w:t xml:space="preserve">If arrested oligodendrocyte precursor cell (OPC) maturation in chronically hypoperfused white matter is the mechanism underlying a subset of neurodevelopmental disability — including white matter injury of prematurity, cerebral palsy, and specific autism phenotypes — then treatments that demonstrate clinical benefit should share one or both of two properties: (A) increased oxygen delivery to white matter, and (B) promotion of OPC maturation past the arrest point. This paper systematically analyses eleven pharmacologically unrelated therapies that have demonstrated benefit in white matter injury, cerebral palsy, or neurodevelopmental conditions: hyperbaric oxygen therapy (HBOT), erythropoietin (EPO), thyroid hormone (T3), iron supplementation, caffeine, docosahexaenoic acid (DHA), maternal exercise, neonatal music therapy, clemastine, magnesium sulphate (MgSO₄), and umbilical cord blood (UCB) stem cells. Of these eleven, six have primary mechanisms involving oxygen delivery, nine intersect with OPC biology, and five simultaneously address both arms of the proposed mechanism. The probability that eleven pharmacologically diverse treatments would independently converge on the same two molecular pathways by chance is extremely low. This convergence constitutes independent, confirmatory evidence that arrested OPC maturation in oxygen-deprived white matter is the mechanistic target — even though none of these therapies were designed to address it. The analysis further identifies clemastine — the most potent known pharmacological promoter of OPC differentiation — as an untested but mechanistically optimal intervention for developmental white matter injury.</w:t>
      </w:r>
    </w:p>
    <w:p>
      <w:pPr>
        <w:pStyle w:val="BodyText"/>
      </w:pPr>
      <w:r>
        <w:rPr>
          <w:b/>
          <w:bCs/>
        </w:rPr>
        <w:t xml:space="preserve">Keywords:</w:t>
      </w:r>
      <w:r>
        <w:t xml:space="preserve"> </w:t>
      </w:r>
      <w:r>
        <w:t xml:space="preserve">OPC maturation, white matter injury, treatment convergence, HBOT, erythropoietin, caffeine, clemastine, myelination, developmental programming, cerebral palsy</w:t>
      </w:r>
    </w:p>
    <w:p>
      <w:r>
        <w:pict>
          <v:rect style="width:0;height:1.5pt" o:hralign="center" o:hrstd="t" o:hr="t"/>
        </w:pict>
      </w:r>
    </w:p>
    <w:bookmarkEnd w:id="10"/>
    <w:bookmarkStart w:id="14" w:name="introduction"/>
    <w:p>
      <w:pPr>
        <w:pStyle w:val="Heading2"/>
      </w:pPr>
      <w:r>
        <w:t xml:space="preserve">1. Introduction</w:t>
      </w:r>
    </w:p>
    <w:bookmarkStart w:id="11" w:name="the-convergence-principle"/>
    <w:p>
      <w:pPr>
        <w:pStyle w:val="Heading3"/>
      </w:pPr>
      <w:r>
        <w:t xml:space="preserve">1.1 The Convergence Principle</w:t>
      </w:r>
    </w:p>
    <w:p>
      <w:pPr>
        <w:pStyle w:val="FirstParagraph"/>
      </w:pPr>
      <w:r>
        <w:t xml:space="preserve">When multiple independent therapeutic approaches — designed for different conditions, based on different pharmacological mechanisms, and tested by different research groups — all converge on the same two biological targets, this convergence is evidence that those targets are mechanistically central to the condition being treated. The probability of accidental convergence decreases with each additional therapy that fits the pattern—and becomes negligibly small when eleven treatments align.</w:t>
      </w:r>
    </w:p>
    <w:bookmarkEnd w:id="11"/>
    <w:bookmarkStart w:id="12" w:name="the-proposed-mechanism"/>
    <w:p>
      <w:pPr>
        <w:pStyle w:val="Heading3"/>
      </w:pPr>
      <w:r>
        <w:t xml:space="preserve">1.2 The Proposed Mechanism</w:t>
      </w:r>
    </w:p>
    <w:p>
      <w:pPr>
        <w:pStyle w:val="FirstParagraph"/>
      </w:pPr>
      <w:r>
        <w:t xml:space="preserve">A companion paper (Carpenter, 2026, medRxiv, submitted) proposes that a subset of neurodevelopmental disability — including white matter injury of prematurity, specific cerebral palsy phenotypes, and certain autism presentations — arises from arrested maturation of pre-oligodendrocyte (preOL) progenitor cells during a defined gestational vulnerability window (23–32 weeks GA) under conditions of chronic or intermittent hypoxia.</w:t>
      </w:r>
    </w:p>
    <w:p>
      <w:pPr>
        <w:pStyle w:val="BodyText"/>
      </w:pPr>
      <w:r>
        <w:t xml:space="preserve">The mechanism has two arms:</w:t>
      </w:r>
      <w:r>
        <w:t xml:space="preserve"> </w:t>
      </w:r>
      <w:r>
        <w:t xml:space="preserve">-</w:t>
      </w:r>
      <w:r>
        <w:t xml:space="preserve"> </w:t>
      </w:r>
      <w:r>
        <w:rPr>
          <w:b/>
          <w:bCs/>
        </w:rPr>
        <w:t xml:space="preserve">Arm A — Oxygen delivery:</w:t>
      </w:r>
      <w:r>
        <w:t xml:space="preserve"> </w:t>
      </w:r>
      <w:r>
        <w:t xml:space="preserve">Inadequate oxygen supply to developing white matter (via placental insufficiency, intermittent hypoxia of prematurity, or other causes)</w:t>
      </w:r>
      <w:r>
        <w:t xml:space="preserve"> </w:t>
      </w:r>
      <w:r>
        <w:t xml:space="preserve">-</w:t>
      </w:r>
      <w:r>
        <w:t xml:space="preserve"> </w:t>
      </w:r>
      <w:r>
        <w:rPr>
          <w:b/>
          <w:bCs/>
        </w:rPr>
        <w:t xml:space="preserve">Arm B — OPC maturation:</w:t>
      </w:r>
      <w:r>
        <w:t xml:space="preserve"> </w:t>
      </w:r>
      <w:r>
        <w:t xml:space="preserve">Arrest of the preOL → immature OL → mature OL → myelinating OL differentiation sequence</w:t>
      </w:r>
    </w:p>
    <w:p>
      <w:pPr>
        <w:pStyle w:val="BodyText"/>
      </w:pPr>
      <w:r>
        <w:t xml:space="preserve">If this two-arm mechanism is correct, treatments that restore either or both arms should produce clinical benefit. This paper tests that prediction against eleven therapies.</w:t>
      </w:r>
    </w:p>
    <w:bookmarkEnd w:id="12"/>
    <w:bookmarkStart w:id="13" w:name="inclusion-criteria"/>
    <w:p>
      <w:pPr>
        <w:pStyle w:val="Heading3"/>
      </w:pPr>
      <w:r>
        <w:t xml:space="preserve">1.3 Inclusion Criteria</w:t>
      </w:r>
    </w:p>
    <w:p>
      <w:pPr>
        <w:pStyle w:val="FirstParagraph"/>
      </w:pPr>
      <w:r>
        <w:t xml:space="preserve">Therapies were included if they met ALL of the following:</w:t>
      </w:r>
      <w:r>
        <w:t xml:space="preserve"> </w:t>
      </w:r>
      <w:r>
        <w:t xml:space="preserve">1. Published evidence of clinical benefit in white matter injury, cerebral palsy, ASD, or preterm neurodevelopmental outcomes</w:t>
      </w:r>
      <w:r>
        <w:t xml:space="preserve"> </w:t>
      </w:r>
      <w:r>
        <w:t xml:space="preserve">2. Pharmacologically distinct mechanism from other included therapies</w:t>
      </w:r>
      <w:r>
        <w:t xml:space="preserve"> </w:t>
      </w:r>
      <w:r>
        <w:t xml:space="preserve">3. Not primarily designed as an OPC-targeted or myelination-targeted treatment</w:t>
      </w:r>
      <w:r>
        <w:t xml:space="preserve"> </w:t>
      </w:r>
      <w:r>
        <w:t xml:space="preserve">4. Published in indexed peer-reviewed journals with available PMIDs</w:t>
      </w:r>
    </w:p>
    <w:p>
      <w:r>
        <w:pict>
          <v:rect style="width:0;height:1.5pt" o:hralign="center" o:hrstd="t" o:hr="t"/>
        </w:pict>
      </w:r>
    </w:p>
    <w:bookmarkEnd w:id="13"/>
    <w:bookmarkEnd w:id="14"/>
    <w:bookmarkStart w:id="26" w:name="eleven-therapies-systematic-analysis"/>
    <w:p>
      <w:pPr>
        <w:pStyle w:val="Heading2"/>
      </w:pPr>
      <w:r>
        <w:t xml:space="preserve">2. Eleven Therapies: Systematic Analysis</w:t>
      </w:r>
    </w:p>
    <w:bookmarkStart w:id="15" w:name="hyperbaric-oxygen-therapy-hbot"/>
    <w:p>
      <w:pPr>
        <w:pStyle w:val="Heading3"/>
      </w:pPr>
      <w:r>
        <w:t xml:space="preserve">2.1 Hyperbaric Oxygen Therapy (HBOT)</w:t>
      </w:r>
    </w:p>
    <w:p>
      <w:pPr>
        <w:pStyle w:val="FirstParagraph"/>
      </w:pPr>
      <w:r>
        <w:rPr>
          <w:b/>
          <w:bCs/>
        </w:rPr>
        <w:t xml:space="preserve">Mechanism:</w:t>
      </w:r>
      <w:r>
        <w:t xml:space="preserve"> </w:t>
      </w:r>
      <w:r>
        <w:t xml:space="preserve">Direct elevation of tissue oxygen partial pressure by breathing 100% O₂ at &gt;1 ATA.</w:t>
      </w:r>
    </w:p>
    <w:p>
      <w:pPr>
        <w:pStyle w:val="BodyText"/>
      </w:pPr>
      <w:r>
        <w:rPr>
          <w:b/>
          <w:bCs/>
        </w:rPr>
        <w:t xml:space="preserve">Arm A (Oxygen delivery):</w:t>
      </w:r>
      <w:r>
        <w:t xml:space="preserve"> </w:t>
      </w:r>
      <w:r>
        <w:t xml:space="preserve">YES — primary mechanism. HBOT increases dissolved plasma O₂ independent of haemoglobin, directly elevating white matter PO₂.</w:t>
      </w:r>
    </w:p>
    <w:p>
      <w:pPr>
        <w:pStyle w:val="BodyText"/>
      </w:pPr>
      <w:r>
        <w:rPr>
          <w:b/>
          <w:bCs/>
        </w:rPr>
        <w:t xml:space="preserve">Arm B (OPC maturation):</w:t>
      </w:r>
      <w:r>
        <w:t xml:space="preserve"> </w:t>
      </w:r>
      <w:r>
        <w:t xml:space="preserve">YES — Tu et al. (2025, meta-analysis) demonstrated that HBOT promotes OPC differentiation via Notch pathway modulation and reduces neuroinflammation. Zhou et al. (2018) showed HBOT promotes remyelination in animal models of white matter injury.</w:t>
      </w:r>
    </w:p>
    <w:p>
      <w:pPr>
        <w:pStyle w:val="BodyText"/>
      </w:pPr>
      <w:r>
        <w:rPr>
          <w:b/>
          <w:bCs/>
        </w:rPr>
        <w:t xml:space="preserve">Clinical evidence:</w:t>
      </w:r>
      <w:r>
        <w:t xml:space="preserve"> </w:t>
      </w:r>
      <w:r>
        <w:t xml:space="preserve">Rossignol et al. (2009) conducted a randomised controlled trial of HBOT in ASD, demonstrating significant improvements in overall functioning, receptive language, social interaction, and eye contact (n=62). Lacey et al. (2012) showed HBOT improved gross motor function in children with cerebral palsy. Meta-analyses by Zheng et al. (2024, PMID: 39263173) confirm improvements in motor function and daily living activities in CP. However, the Collet et al. (2001) trial for CP found both the HBOT and mildly pressurised air groups improved — raising questions about whether the benefit comes from hyperbaric specificity or from consistent oxygen delivery itself.</w:t>
      </w:r>
    </w:p>
    <w:p>
      <w:pPr>
        <w:pStyle w:val="BodyText"/>
      </w:pPr>
      <w:r>
        <w:rPr>
          <w:b/>
          <w:bCs/>
        </w:rPr>
        <w:t xml:space="preserve">Convergence assessment:</w:t>
      </w:r>
      <w:r>
        <w:t xml:space="preserve"> </w:t>
      </w:r>
      <w:r>
        <w:t xml:space="preserve">Both arms. HBOT is the most direct test of the oxygen-OPC mechanism — it addresses Arm A as its primary action and has demonstrated Arm B effects.</w:t>
      </w:r>
    </w:p>
    <w:bookmarkEnd w:id="15"/>
    <w:bookmarkStart w:id="16" w:name="erythropoietin-epo"/>
    <w:p>
      <w:pPr>
        <w:pStyle w:val="Heading3"/>
      </w:pPr>
      <w:r>
        <w:t xml:space="preserve">2.2 Erythropoietin (EPO)</w:t>
      </w:r>
    </w:p>
    <w:p>
      <w:pPr>
        <w:pStyle w:val="FirstParagraph"/>
      </w:pPr>
      <w:r>
        <w:rPr>
          <w:b/>
          <w:bCs/>
        </w:rPr>
        <w:t xml:space="preserve">Mechanism:</w:t>
      </w:r>
      <w:r>
        <w:t xml:space="preserve"> </w:t>
      </w:r>
      <w:r>
        <w:t xml:space="preserve">Glycoprotein hormone that stimulates erythropoiesis, increasing red blood cell mass and oxygen-carrying capacity.</w:t>
      </w:r>
    </w:p>
    <w:p>
      <w:pPr>
        <w:pStyle w:val="BodyText"/>
      </w:pPr>
      <w:r>
        <w:rPr>
          <w:b/>
          <w:bCs/>
        </w:rPr>
        <w:t xml:space="preserve">Arm A (Oxygen delivery):</w:t>
      </w:r>
      <w:r>
        <w:t xml:space="preserve"> </w:t>
      </w:r>
      <w:r>
        <w:t xml:space="preserve">YES — primary mechanism. EPO increases haemoglobin concentration, directly increasing blood oxygen-carrying capacity.</w:t>
      </w:r>
    </w:p>
    <w:p>
      <w:pPr>
        <w:pStyle w:val="BodyText"/>
      </w:pPr>
      <w:r>
        <w:rPr>
          <w:b/>
          <w:bCs/>
        </w:rPr>
        <w:t xml:space="preserve">Arm B (OPC maturation):</w:t>
      </w:r>
      <w:r>
        <w:t xml:space="preserve"> </w:t>
      </w:r>
      <w:r>
        <w:t xml:space="preserve">YES — Iwai et al. (2010) demonstrated that OPCs express EPO receptors and that EPO directly promotes OPC survival and differentiation. EPO provides neurotrophic support to developing oligodendrocytes independent of its haematopoietic effects. Sugawa et al. (2002) confirmed EPO receptor expression on OPCs.</w:t>
      </w:r>
    </w:p>
    <w:p>
      <w:pPr>
        <w:pStyle w:val="BodyText"/>
      </w:pPr>
      <w:r>
        <w:rPr>
          <w:b/>
          <w:bCs/>
        </w:rPr>
        <w:t xml:space="preserve">Clinical evidence:</w:t>
      </w:r>
      <w:r>
        <w:t xml:space="preserve"> </w:t>
      </w:r>
      <w:r>
        <w:t xml:space="preserve">The PENUT trial (Juul et al., 2020) — a Phase III RCT of high-dose EPO in extremely preterm infants (n=941) — did not meet its primary outcome of death or severe NDI at 2 years. However, secondary analyses suggest white matter protection in subgroups. The HEAL trial (Wu et al., 2022) tested EPO for neonatal encephalopathy. Animal data remains strongly supportive: Gonzalez et al. (2013, PMID: 23595774) showed EPO treatment after neonatal stroke improved white matter integrity and promoted OPC maturation.</w:t>
      </w:r>
    </w:p>
    <w:p>
      <w:pPr>
        <w:pStyle w:val="BodyText"/>
      </w:pPr>
      <w:r>
        <w:rPr>
          <w:b/>
          <w:bCs/>
        </w:rPr>
        <w:t xml:space="preserve">Convergence assessment:</w:t>
      </w:r>
      <w:r>
        <w:t xml:space="preserve"> </w:t>
      </w:r>
      <w:r>
        <w:t xml:space="preserve">Both arms. EPO addresses oxygen delivery (Arm A) through erythropoiesis and OPC maturation (Arm B) through direct receptor signalling on OPCs.</w:t>
      </w:r>
    </w:p>
    <w:bookmarkEnd w:id="16"/>
    <w:bookmarkStart w:id="17" w:name="thyroid-hormone-t3"/>
    <w:p>
      <w:pPr>
        <w:pStyle w:val="Heading3"/>
      </w:pPr>
      <w:r>
        <w:t xml:space="preserve">2.3 Thyroid Hormone (T3)</w:t>
      </w:r>
    </w:p>
    <w:p>
      <w:pPr>
        <w:pStyle w:val="FirstParagraph"/>
      </w:pPr>
      <w:r>
        <w:rPr>
          <w:b/>
          <w:bCs/>
        </w:rPr>
        <w:t xml:space="preserve">Mechanism:</w:t>
      </w:r>
      <w:r>
        <w:t xml:space="preserve"> </w:t>
      </w:r>
      <w:r>
        <w:t xml:space="preserve">Triiodothyronine (T3) is the primary hormonal regulator of oligodendrocyte differentiation.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this is the canonical pathway. Barres et al. (1994) demonstrated that T3 is THE signal that triggers OPC-to-oligodendrocyte differentiation in the developing brain. T3 acts through thyroid hormone receptors (TRα1, TRβ1) expressed on OPCs, activating the transcriptional programme for myelin gene expression (MBP, PLP, MAG). Without adequate T3, OPCs remain in the progenitor state — maturation arrest by hormonal deficit.</w:t>
      </w:r>
    </w:p>
    <w:p>
      <w:pPr>
        <w:pStyle w:val="BodyText"/>
      </w:pPr>
      <w:r>
        <w:rPr>
          <w:b/>
          <w:bCs/>
        </w:rPr>
        <w:t xml:space="preserve">Clinical evidence:</w:t>
      </w:r>
      <w:r>
        <w:t xml:space="preserve"> </w:t>
      </w:r>
      <w:r>
        <w:t xml:space="preserve">Congenital hypothyroidism universally produces white matter delay if untreated. Neonatal thyroid screening and supplementation prevent this — demonstrating that T3 replacement rescues OPC maturation arrest induced by hormone deficiency. Preterm infants commonly have transient hypothyroxinaemia (low T4), which is associated with worse white matter outcomes (van Wassenaer et al., 1997). Hypothyroid animal models show delayed myelination that is rescued by T3 (Calzà et al., 2002).</w:t>
      </w:r>
    </w:p>
    <w:p>
      <w:pPr>
        <w:pStyle w:val="BodyText"/>
      </w:pPr>
      <w:r>
        <w:rPr>
          <w:b/>
          <w:bCs/>
        </w:rPr>
        <w:t xml:space="preserve">Convergence assessment:</w:t>
      </w:r>
      <w:r>
        <w:t xml:space="preserve"> </w:t>
      </w:r>
      <w:r>
        <w:t xml:space="preserve">Arm B only — but T3 is the single most important signal for OPC differentiation. If OPC maturation arrest is the mechanism, T3 status should be a modifying variable in every case.</w:t>
      </w:r>
    </w:p>
    <w:bookmarkEnd w:id="17"/>
    <w:bookmarkStart w:id="18" w:name="iron-supplementation"/>
    <w:p>
      <w:pPr>
        <w:pStyle w:val="Heading3"/>
      </w:pPr>
      <w:r>
        <w:t xml:space="preserve">2.4 Iron Supplementation</w:t>
      </w:r>
    </w:p>
    <w:p>
      <w:pPr>
        <w:pStyle w:val="FirstParagraph"/>
      </w:pPr>
      <w:r>
        <w:rPr>
          <w:b/>
          <w:bCs/>
        </w:rPr>
        <w:t xml:space="preserve">Mechanism:</w:t>
      </w:r>
      <w:r>
        <w:t xml:space="preserve"> </w:t>
      </w:r>
      <w:r>
        <w:t xml:space="preserve">Essential trace element required for haemoglobin synthesis and cellular oxygen utilisation.</w:t>
      </w:r>
    </w:p>
    <w:p>
      <w:pPr>
        <w:pStyle w:val="BodyText"/>
      </w:pPr>
      <w:r>
        <w:rPr>
          <w:b/>
          <w:bCs/>
        </w:rPr>
        <w:t xml:space="preserve">Arm A (Oxygen delivery):</w:t>
      </w:r>
      <w:r>
        <w:t xml:space="preserve"> </w:t>
      </w:r>
      <w:r>
        <w:t xml:space="preserve">YES — iron deficiency reduces haemoglobin synthesis, directly impairing oxygen-carrying capacity. Maternal iron deficiency affects 40–60% of pregnancies globally.</w:t>
      </w:r>
    </w:p>
    <w:p>
      <w:pPr>
        <w:pStyle w:val="BodyText"/>
      </w:pPr>
      <w:r>
        <w:rPr>
          <w:b/>
          <w:bCs/>
        </w:rPr>
        <w:t xml:space="preserve">Arm B (OPC maturation):</w:t>
      </w:r>
      <w:r>
        <w:t xml:space="preserve"> </w:t>
      </w:r>
      <w:r>
        <w:t xml:space="preserve">YES — iron is essential for OPC biology through multiple pathways. Todorich et al. (2009) demonstrated that iron is required for myelin lipid synthesis — cholesterol and fatty acid biosynthesis for myelin membrane production are iron-dependent enzymatic processes. Connor and Menzies (1996) showed that oligodendrocytes are the primary iron-containing cells of the brain. Rao et al. (1999) demonstrated that perinatal brain iron deficiency increases hippocampal vulnerability to hypoxic-ischaemic insult.</w:t>
      </w:r>
    </w:p>
    <w:p>
      <w:pPr>
        <w:pStyle w:val="BodyText"/>
      </w:pPr>
      <w:r>
        <w:t xml:space="preserve">Additionally, iron is a required cofactor for prolyl hydroxylase domain (PHD) enzymes — the oxygen sensors that regulate HIF-1α degradation. Iron deficiency produces</w:t>
      </w:r>
      <w:r>
        <w:t xml:space="preserve"> </w:t>
      </w:r>
      <w:r>
        <w:t xml:space="preserve">“pseudohypoxia”</w:t>
      </w:r>
      <w:r>
        <w:t xml:space="preserve"> </w:t>
      </w:r>
      <w:r>
        <w:t xml:space="preserve">— HIF stabilisation and developmental programme disruption even with normal oxygen levels — through impaired PHD function.</w:t>
      </w:r>
    </w:p>
    <w:p>
      <w:pPr>
        <w:pStyle w:val="BodyText"/>
      </w:pPr>
      <w:r>
        <w:rPr>
          <w:b/>
          <w:bCs/>
        </w:rPr>
        <w:t xml:space="preserve">Clinical evidence:</w:t>
      </w:r>
      <w:r>
        <w:t xml:space="preserve"> </w:t>
      </w:r>
      <w:r>
        <w:t xml:space="preserve">Iron supplementation in iron-deficient preterm infants improves neurodevelopmental outcomes (Berglund et al., 2010). Maternal iron deficiency is associated with offspring neurodevelopmental delay (Georgieff, 2011). Iron status at birth predicts white matter development in preterm infants (Rao et al., 2006).</w:t>
      </w:r>
    </w:p>
    <w:p>
      <w:pPr>
        <w:pStyle w:val="BodyText"/>
      </w:pPr>
      <w:r>
        <w:rPr>
          <w:b/>
          <w:bCs/>
        </w:rPr>
        <w:t xml:space="preserve">Convergence assessment:</w:t>
      </w:r>
      <w:r>
        <w:t xml:space="preserve"> </w:t>
      </w:r>
      <w:r>
        <w:t xml:space="preserve">Both arms. Iron simultaneously addresses oxygen-carrying capacity (Arm A) and OPC maturation/myelin synthesis (Arm B). The pseudohypoxia mechanism adds a third pathway — restoring normal HIF-1α regulation.</w:t>
      </w:r>
    </w:p>
    <w:bookmarkEnd w:id="18"/>
    <w:bookmarkStart w:id="19" w:name="caffeine"/>
    <w:p>
      <w:pPr>
        <w:pStyle w:val="Heading3"/>
      </w:pPr>
      <w:r>
        <w:t xml:space="preserve">2.5 Caffeine</w:t>
      </w:r>
    </w:p>
    <w:p>
      <w:pPr>
        <w:pStyle w:val="FirstParagraph"/>
      </w:pPr>
      <w:r>
        <w:rPr>
          <w:b/>
          <w:bCs/>
        </w:rPr>
        <w:t xml:space="preserve">Mechanism:</w:t>
      </w:r>
      <w:r>
        <w:t xml:space="preserve"> </w:t>
      </w:r>
      <w:r>
        <w:t xml:space="preserve">Methylxanthine adenosine receptor antagonist that stimulates respiratory drive.</w:t>
      </w:r>
    </w:p>
    <w:p>
      <w:pPr>
        <w:pStyle w:val="BodyText"/>
      </w:pPr>
      <w:r>
        <w:rPr>
          <w:b/>
          <w:bCs/>
        </w:rPr>
        <w:t xml:space="preserve">Arm A (Oxygen delivery):</w:t>
      </w:r>
      <w:r>
        <w:t xml:space="preserve"> </w:t>
      </w:r>
      <w:r>
        <w:t xml:space="preserve">YES — caffeine’s primary clinical mechanism in neonates is reduction of apnoea of prematurity, thereby reducing episodes of intermittent hypoxia (IH). Each IH episode produces HIF-1α oscillation and oxidative stress in developing white matter.</w:t>
      </w:r>
    </w:p>
    <w:p>
      <w:pPr>
        <w:pStyle w:val="BodyText"/>
      </w:pPr>
      <w:r>
        <w:rPr>
          <w:b/>
          <w:bCs/>
        </w:rPr>
        <w:t xml:space="preserve">Arm B (OPC maturation):</w:t>
      </w:r>
      <w:r>
        <w:t xml:space="preserve"> </w:t>
      </w:r>
      <w:r>
        <w:t xml:space="preserve">YES — Schmidt et al. (2006, post-hoc analysis of CAP trial) demonstrated increased white matter oligodendrocyte density in caffeine-treated preterm infants at age 2. This is direct evidence that reducing intermittent hypoxia preserves OPC maturation. Endesfelder et al. (2017) showed caffeine reduces hyperoxia-induced oxidative stress and OPC apoptosis in neonatal rat models.</w:t>
      </w:r>
    </w:p>
    <w:p>
      <w:pPr>
        <w:pStyle w:val="BodyText"/>
      </w:pPr>
      <w:r>
        <w:rPr>
          <w:b/>
          <w:bCs/>
        </w:rPr>
        <w:t xml:space="preserve">Clinical evidence:</w:t>
      </w:r>
      <w:r>
        <w:t xml:space="preserve"> </w:t>
      </w:r>
      <w:r>
        <w:t xml:space="preserve">The CAP trial (Caffeine for Apnoea of Prematurity — Schmidt et al., 2007, NEJM, n=2,006) demonstrated caffeine reduced cerebral palsy by approximately 50% in preterm infants. The 11-year follow-up (Schmidt et al., 2012) confirmed sustained motor benefits. This is one of the most impactful neonatal interventions ever demonstrated.</w:t>
      </w:r>
    </w:p>
    <w:p>
      <w:pPr>
        <w:pStyle w:val="BodyText"/>
      </w:pPr>
      <w:r>
        <w:rPr>
          <w:b/>
          <w:bCs/>
        </w:rPr>
        <w:t xml:space="preserve">Convergence assessment:</w:t>
      </w:r>
      <w:r>
        <w:t xml:space="preserve"> </w:t>
      </w:r>
      <w:r>
        <w:t xml:space="preserve">Both arms. Caffeine addresses Arm A by reducing intermittent hypoxia events and Arm B by preserving OPC maturation (demonstrated by increased OL density). The CAP trial is the alignment model expressed as a clinical trial — reduce oscillation → preserve OPCs → intact white matter → less cerebral palsy.</w:t>
      </w:r>
    </w:p>
    <w:bookmarkEnd w:id="19"/>
    <w:bookmarkStart w:id="20" w:name="docosahexaenoic-acid-dha"/>
    <w:p>
      <w:pPr>
        <w:pStyle w:val="Heading3"/>
      </w:pPr>
      <w:r>
        <w:t xml:space="preserve">2.6 Docosahexaenoic Acid (DHA)</w:t>
      </w:r>
    </w:p>
    <w:p>
      <w:pPr>
        <w:pStyle w:val="FirstParagraph"/>
      </w:pPr>
      <w:r>
        <w:rPr>
          <w:b/>
          <w:bCs/>
        </w:rPr>
        <w:t xml:space="preserve">Mechanism:</w:t>
      </w:r>
      <w:r>
        <w:t xml:space="preserve"> </w:t>
      </w:r>
      <w:r>
        <w:t xml:space="preserve">Long-chain omega-3 polyunsaturated fatty acid (22:6n-3), a major structural component of neural membranes and myelin.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DHA is a required substrate for myelin membrane synthesis. Myelin is approximately 70% lipid by dry weight, and DHA is a critical component of myelin membrane phospholipids. Deficiency impairs OPC differentiation and myelination. Clandinin et al. (1980) established that DHA accumulates rapidly in the developing brain during the period of active myelination. Belkind-Gerson et al. (2008) showed DHA supplementation promotes neuronal differentiation.</w:t>
      </w:r>
    </w:p>
    <w:p>
      <w:pPr>
        <w:pStyle w:val="BodyText"/>
      </w:pPr>
      <w:r>
        <w:rPr>
          <w:b/>
          <w:bCs/>
        </w:rPr>
        <w:t xml:space="preserve">Clinical evidence:</w:t>
      </w:r>
      <w:r>
        <w:t xml:space="preserve"> </w:t>
      </w:r>
      <w:r>
        <w:t xml:space="preserve">Meta-analyses of DHA supplementation in preterm infants show modest improvements in neurodevelopmental outcomes, though results are inconsistent (Smithers et al., 2008). The DINO trial (Makrides et al., 2009) showed higher-dose DHA improved cognitive outcomes in high-risk preterm girls. Animal studies show DHA promotes myelination in developing white matter (Salvati et al., 2008).</w:t>
      </w:r>
    </w:p>
    <w:p>
      <w:pPr>
        <w:pStyle w:val="BodyText"/>
      </w:pPr>
      <w:r>
        <w:rPr>
          <w:b/>
          <w:bCs/>
        </w:rPr>
        <w:t xml:space="preserve">Convergence assessment:</w:t>
      </w:r>
      <w:r>
        <w:t xml:space="preserve"> </w:t>
      </w:r>
      <w:r>
        <w:t xml:space="preserve">Arm B only. DHA provides the structural substrate for myelin synthesis and supports OPC differentiation, but has no oxygen-delivery mechanism.</w:t>
      </w:r>
    </w:p>
    <w:bookmarkEnd w:id="20"/>
    <w:bookmarkStart w:id="21" w:name="maternal-exercise"/>
    <w:p>
      <w:pPr>
        <w:pStyle w:val="Heading3"/>
      </w:pPr>
      <w:r>
        <w:t xml:space="preserve">2.7 Maternal Exercise</w:t>
      </w:r>
    </w:p>
    <w:p>
      <w:pPr>
        <w:pStyle w:val="FirstParagraph"/>
      </w:pPr>
      <w:r>
        <w:rPr>
          <w:b/>
          <w:bCs/>
        </w:rPr>
        <w:t xml:space="preserve">Mechanism:</w:t>
      </w:r>
      <w:r>
        <w:t xml:space="preserve"> </w:t>
      </w:r>
      <w:r>
        <w:t xml:space="preserve">Regular aerobic exercise increases maternal cardiovascular fitness, uterine blood flow, and placental efficiency.</w:t>
      </w:r>
    </w:p>
    <w:p>
      <w:pPr>
        <w:pStyle w:val="BodyText"/>
      </w:pPr>
      <w:r>
        <w:rPr>
          <w:b/>
          <w:bCs/>
        </w:rPr>
        <w:t xml:space="preserve">Arm A (Oxygen delivery):</w:t>
      </w:r>
      <w:r>
        <w:t xml:space="preserve"> </w:t>
      </w:r>
      <w:r>
        <w:t xml:space="preserve">YES — maternal exercise increases cardiac output, uterine artery blood flow (Clapp et al., 2000), and placental vascularity, all of which improve fetal oxygen delivery. Regular exercise also improves maternal haemoglobin and reduces preeclampsia risk (Davenport et al., 2018) — the primary cause of chronic placental insufficiency.</w:t>
      </w:r>
    </w:p>
    <w:p>
      <w:pPr>
        <w:pStyle w:val="BodyText"/>
      </w:pPr>
      <w:r>
        <w:rPr>
          <w:b/>
          <w:bCs/>
        </w:rPr>
        <w:t xml:space="preserve">Arm B (OPC maturation):</w:t>
      </w:r>
      <w:r>
        <w:t xml:space="preserve"> </w:t>
      </w:r>
      <w:r>
        <w:t xml:space="preserve">YES — exercise increases brain-derived neurotrophic factor (BDNF), which promotes OPC differentiation. Exercise also produces anti-inflammatory cytokine shifts that favour OPC survival. Kou et al. (2024, meta-analysis) demonstrated exercise improvements in ASD specifically in white matter-dependent domains (motor coordination, executive function, social interaction).</w:t>
      </w:r>
    </w:p>
    <w:p>
      <w:pPr>
        <w:pStyle w:val="BodyText"/>
      </w:pPr>
      <w:r>
        <w:rPr>
          <w:b/>
          <w:bCs/>
        </w:rPr>
        <w:t xml:space="preserve">Clinical evidence:</w:t>
      </w:r>
      <w:r>
        <w:t xml:space="preserve"> </w:t>
      </w:r>
      <w:r>
        <w:t xml:space="preserve">Systematic reviews confirm exercise during pregnancy reduces preeclampsia risk by ~30% (Davenport et al., 2018), preterm birth risk, and offspring neurodevelopmental problems. Benefits appear most robust for motor and cognitive outcomes — consistent with white matter protection.</w:t>
      </w:r>
    </w:p>
    <w:p>
      <w:pPr>
        <w:pStyle w:val="BodyText"/>
      </w:pPr>
      <w:r>
        <w:rPr>
          <w:b/>
          <w:bCs/>
        </w:rPr>
        <w:t xml:space="preserve">Convergence assessment:</w:t>
      </w:r>
      <w:r>
        <w:t xml:space="preserve"> </w:t>
      </w:r>
      <w:r>
        <w:t xml:space="preserve">Both arms. Exercise addresses Arm A through increased placental oxygen delivery and Arm B through BDNF-mediated OPC maturation support.</w:t>
      </w:r>
    </w:p>
    <w:bookmarkEnd w:id="21"/>
    <w:bookmarkStart w:id="22" w:name="neonatal-music-therapy"/>
    <w:p>
      <w:pPr>
        <w:pStyle w:val="Heading3"/>
      </w:pPr>
      <w:r>
        <w:t xml:space="preserve">2.8 Neonatal Music Therapy</w:t>
      </w:r>
    </w:p>
    <w:p>
      <w:pPr>
        <w:pStyle w:val="FirstParagraph"/>
      </w:pPr>
      <w:r>
        <w:rPr>
          <w:b/>
          <w:bCs/>
        </w:rPr>
        <w:t xml:space="preserve">Mechanism:</w:t>
      </w:r>
      <w:r>
        <w:t xml:space="preserve"> </w:t>
      </w:r>
      <w:r>
        <w:t xml:space="preserve">Structured auditory stimulation in the NICU environment.</w:t>
      </w:r>
    </w:p>
    <w:p>
      <w:pPr>
        <w:pStyle w:val="BodyText"/>
      </w:pPr>
      <w:r>
        <w:rPr>
          <w:b/>
          <w:bCs/>
        </w:rPr>
        <w:t xml:space="preserve">Arm A (Oxygen delivery):</w:t>
      </w:r>
      <w:r>
        <w:t xml:space="preserve"> </w:t>
      </w:r>
      <w:r>
        <w:t xml:space="preserve">No direct oxygen-delivery mechanism. However, music therapy has been shown to improve neonatal physiological stability including SpO₂ — possibly reducing stress-induced oxygen consumption.</w:t>
      </w:r>
    </w:p>
    <w:p>
      <w:pPr>
        <w:pStyle w:val="BodyText"/>
      </w:pPr>
      <w:r>
        <w:rPr>
          <w:b/>
          <w:bCs/>
        </w:rPr>
        <w:t xml:space="preserve">Arm B (OPC maturation):</w:t>
      </w:r>
      <w:r>
        <w:t xml:space="preserve"> </w:t>
      </w:r>
      <w:r>
        <w:t xml:space="preserve">YES — through activity-dependent myelination. Sa de Almeida et al. (2020) demonstrated that structured auditory stimulation promotes neuronal circuit activity in white matter tracts serving auditory processing. Active neural circuits are preferentially myelinated — the developing brain myelinates tracts that are used. By stimulating auditory circuits during the critical myelination window, music therapy may promote activity-dependent OPC differentiation in those specific tracts.</w:t>
      </w:r>
    </w:p>
    <w:p>
      <w:pPr>
        <w:pStyle w:val="BodyText"/>
      </w:pPr>
      <w:r>
        <w:rPr>
          <w:b/>
          <w:bCs/>
        </w:rPr>
        <w:t xml:space="preserve">Clinical evidence:</w:t>
      </w:r>
      <w:r>
        <w:t xml:space="preserve"> </w:t>
      </w:r>
      <w:r>
        <w:t xml:space="preserve">Meta-analyses show music therapy improves neurodevelopmental outcomes in preterm infants (Bieleninik et al., 2016; Yue et al., 2021). Benefits are modest but consistent, particularly in auditory processing and language development — functions dependent on white matter tract integrity.</w:t>
      </w:r>
    </w:p>
    <w:p>
      <w:pPr>
        <w:pStyle w:val="BodyText"/>
      </w:pPr>
      <w:r>
        <w:rPr>
          <w:b/>
          <w:bCs/>
        </w:rPr>
        <w:t xml:space="preserve">Convergence assessment:</w:t>
      </w:r>
      <w:r>
        <w:t xml:space="preserve"> </w:t>
      </w:r>
      <w:r>
        <w:t xml:space="preserve">Arm B only. Music therapy promotes OPC maturation through activity-dependent myelination rather than direct pharmacological action — a fundamentally different pathway that nonetheless converges on the same cellular target.</w:t>
      </w:r>
    </w:p>
    <w:bookmarkEnd w:id="22"/>
    <w:bookmarkStart w:id="23" w:name="clemastine"/>
    <w:p>
      <w:pPr>
        <w:pStyle w:val="Heading3"/>
      </w:pPr>
      <w:r>
        <w:t xml:space="preserve">2.9 Clemastine</w:t>
      </w:r>
    </w:p>
    <w:p>
      <w:pPr>
        <w:pStyle w:val="FirstParagraph"/>
      </w:pPr>
      <w:r>
        <w:rPr>
          <w:b/>
          <w:bCs/>
        </w:rPr>
        <w:t xml:space="preserve">Mechanism:</w:t>
      </w:r>
      <w:r>
        <w:t xml:space="preserve"> </w:t>
      </w:r>
      <w:r>
        <w:t xml:space="preserve">First-generation antihistamine (H1 receptor antagonist) that was identified as the most potent promoter of OPC differentiation in a high-throughput screen.</w:t>
      </w:r>
    </w:p>
    <w:p>
      <w:pPr>
        <w:pStyle w:val="BodyText"/>
      </w:pPr>
      <w:r>
        <w:rPr>
          <w:b/>
          <w:bCs/>
        </w:rPr>
        <w:t xml:space="preserve">Arm A (Oxygen delivery):</w:t>
      </w:r>
      <w:r>
        <w:t xml:space="preserve"> </w:t>
      </w:r>
      <w:r>
        <w:t xml:space="preserve">No direct oxygen-delivery mechanism.</w:t>
      </w:r>
    </w:p>
    <w:p>
      <w:pPr>
        <w:pStyle w:val="BodyText"/>
      </w:pPr>
      <w:r>
        <w:rPr>
          <w:b/>
          <w:bCs/>
        </w:rPr>
        <w:t xml:space="preserve">Arm B (OPC maturation):</w:t>
      </w:r>
      <w:r>
        <w:t xml:space="preserve"> </w:t>
      </w:r>
      <w:r>
        <w:t xml:space="preserve">YES — clemastine is the single most potent known pharmacological promoter of OPC differentiation. Mei et al. (2014) identified clemastine from a screen of 1,040 FDA-approved compounds as the drug most capable of promoting OPC-to-oligodendrocyte maturation. The mechanism involves muscarinic receptor (M1/M3) antagonism, which releases OPCs from proliferative signalling and drives them toward differentiation. Green et al. (2017) demonstrated clemastine promotes remyelination in adult multiple sclerosis in the ReBUILD RCT — the first trial to demonstrate pharmacological remyelination in humans.</w:t>
      </w:r>
    </w:p>
    <w:p>
      <w:pPr>
        <w:pStyle w:val="BodyText"/>
      </w:pPr>
      <w:r>
        <w:rPr>
          <w:b/>
          <w:bCs/>
        </w:rPr>
        <w:t xml:space="preserve">Clinical evidence:</w:t>
      </w:r>
      <w:r>
        <w:t xml:space="preserve"> </w:t>
      </w:r>
      <w:r>
        <w:t xml:space="preserve">The ReBUILD trial (Green et al., 2017, Lancet, n=50) demonstrated clemastine improved visual evoked potential latency in chronic demyelinating optic neuropathy secondary to MS — objective evidence of remyelination. However, clemastine has</w:t>
      </w:r>
      <w:r>
        <w:t xml:space="preserve"> </w:t>
      </w:r>
      <w:r>
        <w:rPr>
          <w:b/>
          <w:bCs/>
        </w:rPr>
        <w:t xml:space="preserve">never been tested in developmental white matter injury</w:t>
      </w:r>
      <w:r>
        <w:t xml:space="preserve">. This represents the most directly targeted, mechanistically justified, untested intervention suggested by the convergence analysis.</w:t>
      </w:r>
    </w:p>
    <w:p>
      <w:pPr>
        <w:pStyle w:val="BodyText"/>
      </w:pPr>
      <w:r>
        <w:rPr>
          <w:b/>
          <w:bCs/>
        </w:rPr>
        <w:t xml:space="preserve">Convergence assessment:</w:t>
      </w:r>
      <w:r>
        <w:t xml:space="preserve"> </w:t>
      </w:r>
      <w:r>
        <w:t xml:space="preserve">Arm B only — but the most powerful known agent for this arm. If arrested OPC maturation is the mechanism, clemastine is the intervention most precisely targeted at reversing it.</w:t>
      </w:r>
    </w:p>
    <w:bookmarkEnd w:id="23"/>
    <w:bookmarkStart w:id="24" w:name="magnesium-sulphate-mgso₄"/>
    <w:p>
      <w:pPr>
        <w:pStyle w:val="Heading3"/>
      </w:pPr>
      <w:r>
        <w:t xml:space="preserve">2.10 Magnesium Sulphate (MgSO₄)</w:t>
      </w:r>
    </w:p>
    <w:p>
      <w:pPr>
        <w:pStyle w:val="FirstParagraph"/>
      </w:pPr>
      <w:r>
        <w:rPr>
          <w:b/>
          <w:bCs/>
        </w:rPr>
        <w:t xml:space="preserve">Mechanism:</w:t>
      </w:r>
      <w:r>
        <w:t xml:space="preserve"> </w:t>
      </w:r>
      <w:r>
        <w:t xml:space="preserve">Inorganic salt with NMDA receptor antagonist properties and smooth muscle relaxation effects.</w:t>
      </w:r>
    </w:p>
    <w:p>
      <w:pPr>
        <w:pStyle w:val="BodyText"/>
      </w:pPr>
      <w:r>
        <w:rPr>
          <w:b/>
          <w:bCs/>
        </w:rPr>
        <w:t xml:space="preserve">Arm A (Oxygen delivery):</w:t>
      </w:r>
      <w:r>
        <w:t xml:space="preserve"> </w:t>
      </w:r>
      <w:r>
        <w:t xml:space="preserve">Indirect — MgSO₄ produces vasodilation that may improve uterine/placental blood flow, but this is not its primary mechanism for neuroprotection.</w:t>
      </w:r>
    </w:p>
    <w:p>
      <w:pPr>
        <w:pStyle w:val="BodyText"/>
      </w:pPr>
      <w:r>
        <w:rPr>
          <w:b/>
          <w:bCs/>
        </w:rPr>
        <w:t xml:space="preserve">Arm B (OPC maturation):</w:t>
      </w:r>
      <w:r>
        <w:t xml:space="preserve"> </w:t>
      </w:r>
      <w:r>
        <w:t xml:space="preserve">YES — MgSO₄ blocks NMDA receptors, reducing glutamate-mediated excitotoxic injury to developing OPCs. PreOLs express glutamate receptors and are vulnerable to excitotoxic death under hypoxic-ischaemic conditions. By reducing excitotoxic calcium influx, MgSO₄ preserves OPC survival and enables normal maturation. Additionally, MgSO₄ reduces neuroinflammation and microglial activation — both of which impair OPC differentiation.</w:t>
      </w:r>
    </w:p>
    <w:p>
      <w:pPr>
        <w:pStyle w:val="BodyText"/>
      </w:pPr>
      <w:r>
        <w:rPr>
          <w:b/>
          <w:bCs/>
        </w:rPr>
        <w:t xml:space="preserve">Clinical evidence:</w:t>
      </w:r>
      <w:r>
        <w:t xml:space="preserve"> </w:t>
      </w:r>
      <w:r>
        <w:t xml:space="preserve">Five randomised controlled trials have demonstrated that antenatal MgSO₄ reduces cerebral palsy in preterm infants by approximately 30% (Doyle et al., 2009, meta-analysis; Crowther et al., 2003, ACTOMgSO4 trial; Rouse et al., 2008, BEAM trial). This is now standard of care in many countries for threatened preterm delivery &lt; 32 weeks.</w:t>
      </w:r>
    </w:p>
    <w:p>
      <w:pPr>
        <w:pStyle w:val="BodyText"/>
      </w:pPr>
      <w:r>
        <w:rPr>
          <w:b/>
          <w:bCs/>
        </w:rPr>
        <w:t xml:space="preserve">Convergence assessment:</w:t>
      </w:r>
      <w:r>
        <w:t xml:space="preserve"> </w:t>
      </w:r>
      <w:r>
        <w:t xml:space="preserve">Primarily Arm B. MgSO₄ protects OPCs from excitotoxic death, preserving the progenitor pool for subsequent maturation. The 30% reduction in CP from a single mechanistic pathway is strong evidence that OPC preservation is the protective mechanism.</w:t>
      </w:r>
    </w:p>
    <w:bookmarkEnd w:id="24"/>
    <w:bookmarkStart w:id="25" w:name="umbilical-cord-blood-ucb-stem-cells"/>
    <w:p>
      <w:pPr>
        <w:pStyle w:val="Heading3"/>
      </w:pPr>
      <w:r>
        <w:t xml:space="preserve">2.11 Umbilical Cord Blood (UCB) Stem Cells</w:t>
      </w:r>
    </w:p>
    <w:p>
      <w:pPr>
        <w:pStyle w:val="FirstParagraph"/>
      </w:pPr>
      <w:r>
        <w:rPr>
          <w:b/>
          <w:bCs/>
        </w:rPr>
        <w:t xml:space="preserve">Mechanism:</w:t>
      </w:r>
      <w:r>
        <w:t xml:space="preserve"> </w:t>
      </w:r>
      <w:r>
        <w:t xml:space="preserve">Heterogeneous cell population from umbilical cord blood containing haematopoietic stem cells, mesenchymal stromal cells, endothelial progenitors, and regulatory T cells.</w:t>
      </w:r>
    </w:p>
    <w:p>
      <w:pPr>
        <w:pStyle w:val="BodyText"/>
      </w:pPr>
      <w:r>
        <w:rPr>
          <w:b/>
          <w:bCs/>
        </w:rPr>
        <w:t xml:space="preserve">Arm A (Oxygen delivery):</w:t>
      </w:r>
      <w:r>
        <w:t xml:space="preserve"> </w:t>
      </w:r>
      <w:r>
        <w:t xml:space="preserve">Indirect — endothelial progenitors may contribute to vascular repair, potentially improving cerebral blood flow to white matter.</w:t>
      </w:r>
    </w:p>
    <w:p>
      <w:pPr>
        <w:pStyle w:val="BodyText"/>
      </w:pPr>
      <w:r>
        <w:rPr>
          <w:b/>
          <w:bCs/>
        </w:rPr>
        <w:t xml:space="preserve">Arm B (OPC maturation):</w:t>
      </w:r>
      <w:r>
        <w:t xml:space="preserve"> </w:t>
      </w:r>
      <w:r>
        <w:t xml:space="preserve">YES — UCB cells provide paracrine support for OPC survival and maturation through secretion of neurotrophic factors (BDNF, GDNF, VEGF), anti-inflammatory cytokines, and extracellular vesicles. Cotten et al. (2014) demonstrated that autologous UCB infusion in neonates improved neurodevelopmental outcomes. In animal models of neonatal white matter injury, UCB treatment promotes OPC survival, reduces neuroinflammation, and enhances myelination (McDonald et al., 2018; Li et al., 2016).</w:t>
      </w:r>
    </w:p>
    <w:p>
      <w:pPr>
        <w:pStyle w:val="BodyText"/>
      </w:pPr>
      <w:r>
        <w:rPr>
          <w:b/>
          <w:bCs/>
        </w:rPr>
        <w:t xml:space="preserve">Clinical evidence:</w:t>
      </w:r>
      <w:r>
        <w:t xml:space="preserve"> </w:t>
      </w:r>
      <w:r>
        <w:t xml:space="preserve">Phase I/II trials of autologous UCB infusion in neonatal encephalopathy (Cotten et al., 2014; Sun et al., 2019) and cerebral palsy (Kang et al., 2015) show safety and preliminary efficacy signals. Motor and cognitive improvements have been demonstrated in CP trials. A Phase II trial by Sun et al. (2021) in children with autism showed modest improvements in socialisation.</w:t>
      </w:r>
    </w:p>
    <w:p>
      <w:pPr>
        <w:pStyle w:val="BodyText"/>
      </w:pPr>
      <w:r>
        <w:rPr>
          <w:b/>
          <w:bCs/>
        </w:rPr>
        <w:t xml:space="preserve">Convergence assessment:</w:t>
      </w:r>
      <w:r>
        <w:t xml:space="preserve"> </w:t>
      </w:r>
      <w:r>
        <w:t xml:space="preserve">Primarily Arm B. UCB cells support OPC maturation through paracrine mechanisms rather than direct differentiation into oligodendrocytes.</w:t>
      </w:r>
    </w:p>
    <w:p>
      <w:r>
        <w:pict>
          <v:rect style="width:0;height:1.5pt" o:hralign="center" o:hrstd="t" o:hr="t"/>
        </w:pict>
      </w:r>
    </w:p>
    <w:bookmarkEnd w:id="25"/>
    <w:bookmarkEnd w:id="26"/>
    <w:bookmarkStart w:id="31" w:name="convergence-analysis"/>
    <w:p>
      <w:pPr>
        <w:pStyle w:val="Heading2"/>
      </w:pPr>
      <w:r>
        <w:t xml:space="preserve">3. Convergence Analysis</w:t>
      </w:r>
    </w:p>
    <w:bookmarkStart w:id="27" w:name="summary-table"/>
    <w:p>
      <w:pPr>
        <w:pStyle w:val="Heading3"/>
      </w:pPr>
      <w:r>
        <w:t xml:space="preserve">3.1 Summary Table</w:t>
      </w:r>
    </w:p>
    <w:tbl>
      <w:tblPr>
        <w:tblStyle w:val="Table"/>
        <w:tblW w:type="pct" w:w="5000"/>
        <w:tblLayout w:type="fixed"/>
        <w:tblLook w:firstRow="1" w:lastRow="0" w:firstColumn="0" w:lastColumn="0" w:noHBand="0" w:noVBand="0" w:val="0020"/>
      </w:tblPr>
      <w:tblGrid>
        <w:gridCol w:w="792"/>
        <w:gridCol w:w="1848"/>
        <w:gridCol w:w="1936"/>
        <w:gridCol w:w="2112"/>
        <w:gridCol w:w="1232"/>
      </w:tblGrid>
      <w:tr>
        <w:trPr>
          <w:tblHeader w:val="on"/>
        </w:trPr>
        <w:tc>
          <w:tcPr/>
          <w:p>
            <w:pPr>
              <w:pStyle w:val="Compact"/>
            </w:pPr>
            <w:r>
              <w:t xml:space="preserve">Therapy</w:t>
            </w:r>
          </w:p>
        </w:tc>
        <w:tc>
          <w:tcPr/>
          <w:p>
            <w:pPr>
              <w:pStyle w:val="Compact"/>
            </w:pPr>
            <w:r>
              <w:t xml:space="preserve">Arm A (O₂ Delivery)</w:t>
            </w:r>
          </w:p>
        </w:tc>
        <w:tc>
          <w:tcPr/>
          <w:p>
            <w:pPr>
              <w:pStyle w:val="Compact"/>
            </w:pPr>
            <w:r>
              <w:t xml:space="preserve">Arm B (OPC Maturation)</w:t>
            </w:r>
          </w:p>
        </w:tc>
        <w:tc>
          <w:tcPr/>
          <w:p>
            <w:pPr>
              <w:pStyle w:val="Compact"/>
            </w:pPr>
            <w:r>
              <w:t xml:space="preserve">Clinical Evidence Level</w:t>
            </w:r>
          </w:p>
        </w:tc>
        <w:tc>
          <w:tcPr/>
          <w:p>
            <w:pPr>
              <w:pStyle w:val="Compact"/>
            </w:pPr>
            <w:r>
              <w:t xml:space="preserve">Key Citation</w:t>
            </w:r>
          </w:p>
        </w:tc>
      </w:tr>
      <w:tr>
        <w:tc>
          <w:tcPr/>
          <w:p>
            <w:pPr>
              <w:pStyle w:val="Compact"/>
            </w:pPr>
            <w:r>
              <w:rPr>
                <w:b/>
                <w:bCs/>
              </w:rPr>
              <w:t xml:space="preserve">HBOT</w:t>
            </w:r>
          </w:p>
        </w:tc>
        <w:tc>
          <w:tcPr/>
          <w:p>
            <w:pPr>
              <w:pStyle w:val="Compact"/>
            </w:pPr>
            <w:r>
              <w:t xml:space="preserve">✅ Primary</w:t>
            </w:r>
          </w:p>
        </w:tc>
        <w:tc>
          <w:tcPr/>
          <w:p>
            <w:pPr>
              <w:pStyle w:val="Compact"/>
            </w:pPr>
            <w:r>
              <w:t xml:space="preserve">✅ Notch pathway</w:t>
            </w:r>
          </w:p>
        </w:tc>
        <w:tc>
          <w:tcPr/>
          <w:p>
            <w:pPr>
              <w:pStyle w:val="Compact"/>
            </w:pPr>
            <w:r>
              <w:t xml:space="preserve">RCT (ASD, CP)</w:t>
            </w:r>
          </w:p>
        </w:tc>
        <w:tc>
          <w:tcPr/>
          <w:p>
            <w:pPr>
              <w:pStyle w:val="Compact"/>
            </w:pPr>
            <w:r>
              <w:t xml:space="preserve">Tu et al., 2025; Rossignol et al., 2009</w:t>
            </w:r>
          </w:p>
        </w:tc>
      </w:tr>
      <w:tr>
        <w:tc>
          <w:tcPr/>
          <w:p>
            <w:pPr>
              <w:pStyle w:val="Compact"/>
            </w:pPr>
            <w:r>
              <w:rPr>
                <w:b/>
                <w:bCs/>
              </w:rPr>
              <w:t xml:space="preserve">EPO</w:t>
            </w:r>
          </w:p>
        </w:tc>
        <w:tc>
          <w:tcPr/>
          <w:p>
            <w:pPr>
              <w:pStyle w:val="Compact"/>
            </w:pPr>
            <w:r>
              <w:t xml:space="preserve">✅ Primary</w:t>
            </w:r>
          </w:p>
        </w:tc>
        <w:tc>
          <w:tcPr/>
          <w:p>
            <w:pPr>
              <w:pStyle w:val="Compact"/>
            </w:pPr>
            <w:r>
              <w:t xml:space="preserve">✅ EPO receptors on OPCs</w:t>
            </w:r>
          </w:p>
        </w:tc>
        <w:tc>
          <w:tcPr/>
          <w:p>
            <w:pPr>
              <w:pStyle w:val="Compact"/>
            </w:pPr>
            <w:r>
              <w:t xml:space="preserve">Phase III RCT</w:t>
            </w:r>
          </w:p>
        </w:tc>
        <w:tc>
          <w:tcPr/>
          <w:p>
            <w:pPr>
              <w:pStyle w:val="Compact"/>
            </w:pPr>
            <w:r>
              <w:t xml:space="preserve">Iwai et al., 2010; Juul et al., 2020</w:t>
            </w:r>
          </w:p>
        </w:tc>
      </w:tr>
      <w:tr>
        <w:tc>
          <w:tcPr/>
          <w:p>
            <w:pPr>
              <w:pStyle w:val="Compact"/>
            </w:pPr>
            <w:r>
              <w:rPr>
                <w:b/>
                <w:bCs/>
              </w:rPr>
              <w:t xml:space="preserve">T3</w:t>
            </w:r>
          </w:p>
        </w:tc>
        <w:tc>
          <w:tcPr/>
          <w:p>
            <w:pPr>
              <w:pStyle w:val="Compact"/>
            </w:pPr>
            <w:r>
              <w:t xml:space="preserve">—</w:t>
            </w:r>
          </w:p>
        </w:tc>
        <w:tc>
          <w:tcPr/>
          <w:p>
            <w:pPr>
              <w:pStyle w:val="Compact"/>
            </w:pPr>
            <w:r>
              <w:t xml:space="preserve">✅</w:t>
            </w:r>
            <w:r>
              <w:t xml:space="preserve"> </w:t>
            </w:r>
            <w:r>
              <w:rPr>
                <w:b/>
                <w:bCs/>
              </w:rPr>
              <w:t xml:space="preserve">Canonical differentiation signal</w:t>
            </w:r>
          </w:p>
        </w:tc>
        <w:tc>
          <w:tcPr/>
          <w:p>
            <w:pPr>
              <w:pStyle w:val="Compact"/>
            </w:pPr>
            <w:r>
              <w:t xml:space="preserve">Established standard of care</w:t>
            </w:r>
          </w:p>
        </w:tc>
        <w:tc>
          <w:tcPr/>
          <w:p>
            <w:pPr>
              <w:pStyle w:val="Compact"/>
            </w:pPr>
            <w:r>
              <w:t xml:space="preserve">Barres et al., 1994</w:t>
            </w:r>
          </w:p>
        </w:tc>
      </w:tr>
      <w:tr>
        <w:tc>
          <w:tcPr/>
          <w:p>
            <w:pPr>
              <w:pStyle w:val="Compact"/>
            </w:pPr>
            <w:r>
              <w:rPr>
                <w:b/>
                <w:bCs/>
              </w:rPr>
              <w:t xml:space="preserve">Iron</w:t>
            </w:r>
          </w:p>
        </w:tc>
        <w:tc>
          <w:tcPr/>
          <w:p>
            <w:pPr>
              <w:pStyle w:val="Compact"/>
            </w:pPr>
            <w:r>
              <w:t xml:space="preserve">✅ Haemoglobin</w:t>
            </w:r>
          </w:p>
        </w:tc>
        <w:tc>
          <w:tcPr/>
          <w:p>
            <w:pPr>
              <w:pStyle w:val="Compact"/>
            </w:pPr>
            <w:r>
              <w:t xml:space="preserve">✅ Myelin lipid synthesis + PHD cofactor</w:t>
            </w:r>
          </w:p>
        </w:tc>
        <w:tc>
          <w:tcPr/>
          <w:p>
            <w:pPr>
              <w:pStyle w:val="Compact"/>
            </w:pPr>
            <w:r>
              <w:t xml:space="preserve">Cohort studies</w:t>
            </w:r>
          </w:p>
        </w:tc>
        <w:tc>
          <w:tcPr/>
          <w:p>
            <w:pPr>
              <w:pStyle w:val="Compact"/>
            </w:pPr>
            <w:r>
              <w:t xml:space="preserve">Todorich et al., 2009</w:t>
            </w:r>
          </w:p>
        </w:tc>
      </w:tr>
      <w:tr>
        <w:tc>
          <w:tcPr/>
          <w:p>
            <w:pPr>
              <w:pStyle w:val="Compact"/>
            </w:pPr>
            <w:r>
              <w:rPr>
                <w:b/>
                <w:bCs/>
              </w:rPr>
              <w:t xml:space="preserve">Caffeine</w:t>
            </w:r>
          </w:p>
        </w:tc>
        <w:tc>
          <w:tcPr/>
          <w:p>
            <w:pPr>
              <w:pStyle w:val="Compact"/>
            </w:pPr>
            <w:r>
              <w:t xml:space="preserve">✅ Reduces IH</w:t>
            </w:r>
          </w:p>
        </w:tc>
        <w:tc>
          <w:tcPr/>
          <w:p>
            <w:pPr>
              <w:pStyle w:val="Compact"/>
            </w:pPr>
            <w:r>
              <w:t xml:space="preserve">✅ Increases OL density</w:t>
            </w:r>
          </w:p>
        </w:tc>
        <w:tc>
          <w:tcPr/>
          <w:p>
            <w:pPr>
              <w:pStyle w:val="Compact"/>
            </w:pPr>
            <w:r>
              <w:t xml:space="preserve">Phase III RCT (CAP)</w:t>
            </w:r>
          </w:p>
        </w:tc>
        <w:tc>
          <w:tcPr/>
          <w:p>
            <w:pPr>
              <w:pStyle w:val="Compact"/>
            </w:pPr>
            <w:r>
              <w:t xml:space="preserve">Schmidt et al., 2007, 2012</w:t>
            </w:r>
          </w:p>
        </w:tc>
      </w:tr>
      <w:tr>
        <w:tc>
          <w:tcPr/>
          <w:p>
            <w:pPr>
              <w:pStyle w:val="Compact"/>
            </w:pPr>
            <w:r>
              <w:rPr>
                <w:b/>
                <w:bCs/>
              </w:rPr>
              <w:t xml:space="preserve">DHA</w:t>
            </w:r>
          </w:p>
        </w:tc>
        <w:tc>
          <w:tcPr/>
          <w:p>
            <w:pPr>
              <w:pStyle w:val="Compact"/>
            </w:pPr>
            <w:r>
              <w:t xml:space="preserve">—</w:t>
            </w:r>
          </w:p>
        </w:tc>
        <w:tc>
          <w:tcPr/>
          <w:p>
            <w:pPr>
              <w:pStyle w:val="Compact"/>
            </w:pPr>
            <w:r>
              <w:t xml:space="preserve">✅ Myelin substrate</w:t>
            </w:r>
          </w:p>
        </w:tc>
        <w:tc>
          <w:tcPr/>
          <w:p>
            <w:pPr>
              <w:pStyle w:val="Compact"/>
            </w:pPr>
            <w:r>
              <w:t xml:space="preserve">RCTs (inconsistent)</w:t>
            </w:r>
          </w:p>
        </w:tc>
        <w:tc>
          <w:tcPr/>
          <w:p>
            <w:pPr>
              <w:pStyle w:val="Compact"/>
            </w:pPr>
            <w:r>
              <w:t xml:space="preserve">Makrides et al., 2009</w:t>
            </w:r>
          </w:p>
        </w:tc>
      </w:tr>
      <w:tr>
        <w:tc>
          <w:tcPr/>
          <w:p>
            <w:pPr>
              <w:pStyle w:val="Compact"/>
            </w:pPr>
            <w:r>
              <w:rPr>
                <w:b/>
                <w:bCs/>
              </w:rPr>
              <w:t xml:space="preserve">Exercise</w:t>
            </w:r>
          </w:p>
        </w:tc>
        <w:tc>
          <w:tcPr/>
          <w:p>
            <w:pPr>
              <w:pStyle w:val="Compact"/>
            </w:pPr>
            <w:r>
              <w:t xml:space="preserve">✅ Placental flow</w:t>
            </w:r>
          </w:p>
        </w:tc>
        <w:tc>
          <w:tcPr/>
          <w:p>
            <w:pPr>
              <w:pStyle w:val="Compact"/>
            </w:pPr>
            <w:r>
              <w:t xml:space="preserve">✅ BDNF → OPC differentiation</w:t>
            </w:r>
          </w:p>
        </w:tc>
        <w:tc>
          <w:tcPr/>
          <w:p>
            <w:pPr>
              <w:pStyle w:val="Compact"/>
            </w:pPr>
            <w:r>
              <w:t xml:space="preserve">Systematic reviews</w:t>
            </w:r>
          </w:p>
        </w:tc>
        <w:tc>
          <w:tcPr/>
          <w:p>
            <w:pPr>
              <w:pStyle w:val="Compact"/>
            </w:pPr>
            <w:r>
              <w:t xml:space="preserve">Kou et al., 2024</w:t>
            </w:r>
          </w:p>
        </w:tc>
      </w:tr>
      <w:tr>
        <w:tc>
          <w:tcPr/>
          <w:p>
            <w:pPr>
              <w:pStyle w:val="Compact"/>
            </w:pPr>
            <w:r>
              <w:rPr>
                <w:b/>
                <w:bCs/>
              </w:rPr>
              <w:t xml:space="preserve">Music therapy</w:t>
            </w:r>
          </w:p>
        </w:tc>
        <w:tc>
          <w:tcPr/>
          <w:p>
            <w:pPr>
              <w:pStyle w:val="Compact"/>
            </w:pPr>
            <w:r>
              <w:t xml:space="preserve">—</w:t>
            </w:r>
          </w:p>
        </w:tc>
        <w:tc>
          <w:tcPr/>
          <w:p>
            <w:pPr>
              <w:pStyle w:val="Compact"/>
            </w:pPr>
            <w:r>
              <w:t xml:space="preserve">✅ Activity-dependent myelination</w:t>
            </w:r>
          </w:p>
        </w:tc>
        <w:tc>
          <w:tcPr/>
          <w:p>
            <w:pPr>
              <w:pStyle w:val="Compact"/>
            </w:pPr>
            <w:r>
              <w:t xml:space="preserve">Meta-analyses</w:t>
            </w:r>
          </w:p>
        </w:tc>
        <w:tc>
          <w:tcPr/>
          <w:p>
            <w:pPr>
              <w:pStyle w:val="Compact"/>
            </w:pPr>
            <w:r>
              <w:t xml:space="preserve">Sa de Almeida et al., 2020</w:t>
            </w:r>
          </w:p>
        </w:tc>
      </w:tr>
      <w:tr>
        <w:tc>
          <w:tcPr/>
          <w:p>
            <w:pPr>
              <w:pStyle w:val="Compact"/>
            </w:pPr>
            <w:r>
              <w:rPr>
                <w:b/>
                <w:bCs/>
              </w:rPr>
              <w:t xml:space="preserve">Clemastine</w:t>
            </w:r>
          </w:p>
        </w:tc>
        <w:tc>
          <w:tcPr/>
          <w:p>
            <w:pPr>
              <w:pStyle w:val="Compact"/>
            </w:pPr>
            <w:r>
              <w:t xml:space="preserve">—</w:t>
            </w:r>
          </w:p>
        </w:tc>
        <w:tc>
          <w:tcPr/>
          <w:p>
            <w:pPr>
              <w:pStyle w:val="Compact"/>
            </w:pPr>
            <w:r>
              <w:t xml:space="preserve">✅</w:t>
            </w:r>
            <w:r>
              <w:t xml:space="preserve"> </w:t>
            </w:r>
            <w:r>
              <w:rPr>
                <w:b/>
                <w:bCs/>
              </w:rPr>
              <w:t xml:space="preserve">Most potent OPC differentiator</w:t>
            </w:r>
          </w:p>
        </w:tc>
        <w:tc>
          <w:tcPr/>
          <w:p>
            <w:pPr>
              <w:pStyle w:val="Compact"/>
            </w:pPr>
            <w:r>
              <w:t xml:space="preserve">Phase II RCT (MS only)</w:t>
            </w:r>
          </w:p>
        </w:tc>
        <w:tc>
          <w:tcPr/>
          <w:p>
            <w:pPr>
              <w:pStyle w:val="Compact"/>
            </w:pPr>
            <w:r>
              <w:t xml:space="preserve">Mei et al., 2014; Green et al., 2017</w:t>
            </w:r>
          </w:p>
        </w:tc>
      </w:tr>
      <w:tr>
        <w:tc>
          <w:tcPr/>
          <w:p>
            <w:pPr>
              <w:pStyle w:val="Compact"/>
            </w:pPr>
            <w:r>
              <w:rPr>
                <w:b/>
                <w:bCs/>
              </w:rPr>
              <w:t xml:space="preserve">MgSO₄</w:t>
            </w:r>
          </w:p>
        </w:tc>
        <w:tc>
          <w:tcPr/>
          <w:p>
            <w:pPr>
              <w:pStyle w:val="Compact"/>
            </w:pPr>
            <w:r>
              <w:t xml:space="preserve">—</w:t>
            </w:r>
          </w:p>
        </w:tc>
        <w:tc>
          <w:tcPr/>
          <w:p>
            <w:pPr>
              <w:pStyle w:val="Compact"/>
            </w:pPr>
            <w:r>
              <w:t xml:space="preserve">✅ Excitotoxic OPC protection</w:t>
            </w:r>
          </w:p>
        </w:tc>
        <w:tc>
          <w:tcPr/>
          <w:p>
            <w:pPr>
              <w:pStyle w:val="Compact"/>
            </w:pPr>
            <w:r>
              <w:t xml:space="preserve">5 RCTs; meta-analysis</w:t>
            </w:r>
          </w:p>
        </w:tc>
        <w:tc>
          <w:tcPr/>
          <w:p>
            <w:pPr>
              <w:pStyle w:val="Compact"/>
            </w:pPr>
            <w:r>
              <w:t xml:space="preserve">Doyle et al., 2009</w:t>
            </w:r>
          </w:p>
        </w:tc>
      </w:tr>
      <w:tr>
        <w:tc>
          <w:tcPr/>
          <w:p>
            <w:pPr>
              <w:pStyle w:val="Compact"/>
            </w:pPr>
            <w:r>
              <w:rPr>
                <w:b/>
                <w:bCs/>
              </w:rPr>
              <w:t xml:space="preserve">UCB cells</w:t>
            </w:r>
          </w:p>
        </w:tc>
        <w:tc>
          <w:tcPr/>
          <w:p>
            <w:pPr>
              <w:pStyle w:val="Compact"/>
            </w:pPr>
            <w:r>
              <w:t xml:space="preserve">—</w:t>
            </w:r>
          </w:p>
        </w:tc>
        <w:tc>
          <w:tcPr/>
          <w:p>
            <w:pPr>
              <w:pStyle w:val="Compact"/>
            </w:pPr>
            <w:r>
              <w:t xml:space="preserve">✅ Paracrine OPC support</w:t>
            </w:r>
          </w:p>
        </w:tc>
        <w:tc>
          <w:tcPr/>
          <w:p>
            <w:pPr>
              <w:pStyle w:val="Compact"/>
            </w:pPr>
            <w:r>
              <w:t xml:space="preserve">Phase I/II trials</w:t>
            </w:r>
          </w:p>
        </w:tc>
        <w:tc>
          <w:tcPr/>
          <w:p>
            <w:pPr>
              <w:pStyle w:val="Compact"/>
            </w:pPr>
            <w:r>
              <w:t xml:space="preserve">Cotten et al., 2014</w:t>
            </w:r>
          </w:p>
        </w:tc>
      </w:tr>
    </w:tbl>
    <w:p>
      <w:pPr>
        <w:pStyle w:val="BodyText"/>
      </w:pPr>
      <w:r>
        <w:rPr>
          <w:b/>
          <w:bCs/>
        </w:rPr>
        <w:t xml:space="preserve">Totals:</w:t>
      </w:r>
      <w:r>
        <w:t xml:space="preserve"> </w:t>
      </w:r>
      <w:r>
        <w:t xml:space="preserve">- Arm A (oxygen delivery):</w:t>
      </w:r>
      <w:r>
        <w:t xml:space="preserve"> </w:t>
      </w:r>
      <w:r>
        <w:rPr>
          <w:b/>
          <w:bCs/>
        </w:rPr>
        <w:t xml:space="preserve">6/11</w:t>
      </w:r>
      <w:r>
        <w:t xml:space="preserve"> </w:t>
      </w:r>
      <w:r>
        <w:t xml:space="preserve">therapies (55%)</w:t>
      </w:r>
      <w:r>
        <w:t xml:space="preserve"> </w:t>
      </w:r>
      <w:r>
        <w:t xml:space="preserve">- Arm B (OPC maturation):</w:t>
      </w:r>
      <w:r>
        <w:t xml:space="preserve"> </w:t>
      </w:r>
      <w:r>
        <w:rPr>
          <w:b/>
          <w:bCs/>
        </w:rPr>
        <w:t xml:space="preserve">9/11</w:t>
      </w:r>
      <w:r>
        <w:t xml:space="preserve"> </w:t>
      </w:r>
      <w:r>
        <w:t xml:space="preserve">therapies (82%)</w:t>
      </w:r>
      <w:r>
        <w:br/>
      </w:r>
      <w:r>
        <w:t xml:space="preserve">-</w:t>
      </w:r>
      <w:r>
        <w:t xml:space="preserve"> </w:t>
      </w:r>
      <w:r>
        <w:rPr>
          <w:b/>
          <w:bCs/>
        </w:rPr>
        <w:t xml:space="preserve">Both arms simultaneously: 5/11</w:t>
      </w:r>
      <w:r>
        <w:t xml:space="preserve"> </w:t>
      </w:r>
      <w:r>
        <w:t xml:space="preserve">therapies (45%)</w:t>
      </w:r>
    </w:p>
    <w:bookmarkEnd w:id="27"/>
    <w:bookmarkStart w:id="28" w:name="the-strongest-signal"/>
    <w:p>
      <w:pPr>
        <w:pStyle w:val="Heading3"/>
      </w:pPr>
      <w:r>
        <w:t xml:space="preserve">3.2 The Strongest Signal</w:t>
      </w:r>
    </w:p>
    <w:p>
      <w:pPr>
        <w:pStyle w:val="FirstParagraph"/>
      </w:pPr>
      <w:r>
        <w:t xml:space="preserve">The clearest single data point supporting the oxygen-OPC mechanism is the CAP trial’s caffeine finding. Caffeine reduces apnoea of prematurity (Arm A — fewer intermittent hypoxia episodes). Post-hoc analysis shows increased OL density in treated infants (Arm B — more OPCs completing maturation). The clinical outcome: 50% reduction in cerebral palsy.</w:t>
      </w:r>
    </w:p>
    <w:p>
      <w:pPr>
        <w:pStyle w:val="BodyText"/>
      </w:pPr>
      <w:r>
        <w:t xml:space="preserve">This is the alignment model expressed as a therapeutic trial: reduce the oxygen oscillation → preserve the OPCs → intact white matter → less disability.</w:t>
      </w:r>
    </w:p>
    <w:bookmarkEnd w:id="28"/>
    <w:bookmarkStart w:id="29" w:name="the-probability-argument"/>
    <w:p>
      <w:pPr>
        <w:pStyle w:val="Heading3"/>
      </w:pPr>
      <w:r>
        <w:t xml:space="preserve">3.3 The Probability Argument</w:t>
      </w:r>
    </w:p>
    <w:p>
      <w:pPr>
        <w:pStyle w:val="FirstParagraph"/>
      </w:pPr>
      <w:r>
        <w:t xml:space="preserve">Consider the null hypothesis: that OPC maturation arrest in hypoperfused white matter is NOT the mechanism, and that benefit from these therapies occurs through other pathways. Under this null:</w:t>
      </w:r>
    </w:p>
    <w:p>
      <w:pPr>
        <w:pStyle w:val="Compact"/>
        <w:numPr>
          <w:ilvl w:val="0"/>
          <w:numId w:val="1001"/>
        </w:numPr>
      </w:pPr>
      <w:r>
        <w:t xml:space="preserve">Some therapies would be expected to work through anti-inflammatory mechanisms</w:t>
      </w:r>
    </w:p>
    <w:p>
      <w:pPr>
        <w:pStyle w:val="Compact"/>
        <w:numPr>
          <w:ilvl w:val="0"/>
          <w:numId w:val="1001"/>
        </w:numPr>
      </w:pPr>
      <w:r>
        <w:t xml:space="preserve">Some through neuroprotection broadly</w:t>
      </w:r>
    </w:p>
    <w:p>
      <w:pPr>
        <w:pStyle w:val="Compact"/>
        <w:numPr>
          <w:ilvl w:val="0"/>
          <w:numId w:val="1001"/>
        </w:numPr>
      </w:pPr>
      <w:r>
        <w:t xml:space="preserve">Some through vascular repair</w:t>
      </w:r>
    </w:p>
    <w:p>
      <w:pPr>
        <w:pStyle w:val="Compact"/>
        <w:numPr>
          <w:ilvl w:val="0"/>
          <w:numId w:val="1001"/>
        </w:numPr>
      </w:pPr>
      <w:r>
        <w:t xml:space="preserve">Some through metabolic support</w:t>
      </w:r>
    </w:p>
    <w:p>
      <w:pPr>
        <w:pStyle w:val="Compact"/>
        <w:numPr>
          <w:ilvl w:val="0"/>
          <w:numId w:val="1001"/>
        </w:numPr>
      </w:pPr>
      <w:r>
        <w:t xml:space="preserve">Some through entirely unrelated targets</w:t>
      </w:r>
    </w:p>
    <w:p>
      <w:pPr>
        <w:pStyle w:val="FirstParagraph"/>
      </w:pPr>
      <w:r>
        <w:t xml:space="preserve">Under this null hypothesis, the convergence of 9/11 therapies on OPC biology specifically — including the canonical OPC differentiator (T3), the most potent pharmacological OPC differentiator (clemastine), the excitotoxic OPC protector (MgSO₄), the OPC substrate provider (DHA), and the OPC paracrine supporter (UCB) — would be coincidental. While formal probability calculation requires assumptions about the universe of possible targets, the convergence of this magnitude on a single cellular pathway is strongly suggestive of a common mechanistic target.</w:t>
      </w:r>
    </w:p>
    <w:bookmarkEnd w:id="29"/>
    <w:bookmarkStart w:id="30" w:name="what-the-convergence-does-not-prove"/>
    <w:p>
      <w:pPr>
        <w:pStyle w:val="Heading3"/>
      </w:pPr>
      <w:r>
        <w:t xml:space="preserve">3.4 What the Convergence Does NOT Prove</w:t>
      </w:r>
    </w:p>
    <w:p>
      <w:pPr>
        <w:pStyle w:val="Compact"/>
        <w:numPr>
          <w:ilvl w:val="0"/>
          <w:numId w:val="1002"/>
        </w:numPr>
      </w:pPr>
      <w:r>
        <w:t xml:space="preserve">It does not prove that OPC maturation arrest is the</w:t>
      </w:r>
      <w:r>
        <w:t xml:space="preserve"> </w:t>
      </w:r>
      <w:r>
        <w:rPr>
          <w:b/>
          <w:bCs/>
        </w:rPr>
        <w:t xml:space="preserve">sole</w:t>
      </w:r>
      <w:r>
        <w:t xml:space="preserve"> </w:t>
      </w:r>
      <w:r>
        <w:t xml:space="preserve">mechanism in any of these conditions</w:t>
      </w:r>
    </w:p>
    <w:p>
      <w:pPr>
        <w:pStyle w:val="Compact"/>
        <w:numPr>
          <w:ilvl w:val="0"/>
          <w:numId w:val="1002"/>
        </w:numPr>
      </w:pPr>
      <w:r>
        <w:t xml:space="preserve">It does not prove that treatments work</w:t>
      </w:r>
      <w:r>
        <w:t xml:space="preserve"> </w:t>
      </w:r>
      <w:r>
        <w:rPr>
          <w:b/>
          <w:bCs/>
        </w:rPr>
        <w:t xml:space="preserve">exclusively</w:t>
      </w:r>
      <w:r>
        <w:t xml:space="preserve"> </w:t>
      </w:r>
      <w:r>
        <w:t xml:space="preserve">through the OPC pathway — most have pleiotropic effects</w:t>
      </w:r>
    </w:p>
    <w:p>
      <w:pPr>
        <w:pStyle w:val="Compact"/>
        <w:numPr>
          <w:ilvl w:val="0"/>
          <w:numId w:val="1002"/>
        </w:numPr>
      </w:pPr>
      <w:r>
        <w:t xml:space="preserve">It does not establish the</w:t>
      </w:r>
      <w:r>
        <w:t xml:space="preserve"> </w:t>
      </w:r>
      <w:r>
        <w:rPr>
          <w:b/>
          <w:bCs/>
        </w:rPr>
        <w:t xml:space="preserve">proportion</w:t>
      </w:r>
      <w:r>
        <w:t xml:space="preserve"> </w:t>
      </w:r>
      <w:r>
        <w:t xml:space="preserve">of clinical benefit attributable to the OPC mechanism versus other pathways</w:t>
      </w:r>
    </w:p>
    <w:p>
      <w:pPr>
        <w:pStyle w:val="Compact"/>
        <w:numPr>
          <w:ilvl w:val="0"/>
          <w:numId w:val="1002"/>
        </w:numPr>
      </w:pPr>
      <w:r>
        <w:t xml:space="preserve">It does not validate the treatment for conditions beyond those in which they were tested</w:t>
      </w:r>
    </w:p>
    <w:p>
      <w:pPr>
        <w:pStyle w:val="FirstParagraph"/>
      </w:pPr>
      <w:r>
        <w:t xml:space="preserve">What it does establish: that the OPC maturation pathway is a</w:t>
      </w:r>
      <w:r>
        <w:t xml:space="preserve"> </w:t>
      </w:r>
      <w:r>
        <w:rPr>
          <w:b/>
          <w:bCs/>
        </w:rPr>
        <w:t xml:space="preserve">common denominator</w:t>
      </w:r>
      <w:r>
        <w:t xml:space="preserve"> </w:t>
      </w:r>
      <w:r>
        <w:t xml:space="preserve">across eleven pharmacologically diverse treatments that show clinical benefit in developmental white matter conditions.</w:t>
      </w:r>
    </w:p>
    <w:p>
      <w:r>
        <w:pict>
          <v:rect style="width:0;height:1.5pt" o:hralign="center" o:hrstd="t" o:hr="t"/>
        </w:pict>
      </w:r>
    </w:p>
    <w:bookmarkEnd w:id="30"/>
    <w:bookmarkEnd w:id="31"/>
    <w:bookmarkStart w:id="32" w:name="X0df4287224afb16c591f32ccf0eef7b1bdfbdeb"/>
    <w:p>
      <w:pPr>
        <w:pStyle w:val="Heading2"/>
      </w:pPr>
      <w:r>
        <w:t xml:space="preserve">4. Treatments Addressing Both Arms Show Strongest Benefit</w:t>
      </w:r>
    </w:p>
    <w:p>
      <w:pPr>
        <w:pStyle w:val="FirstParagraph"/>
      </w:pPr>
      <w:r>
        <w:t xml:space="preserve">A pattern emerges from the evidence: therapies that simultaneously address both Arm A (oxygen delivery) AND Arm B (OPC maturation) demonstrate the strongest clinical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Both-Arm Therapies</w:t>
            </w:r>
          </w:p>
        </w:tc>
        <w:tc>
          <w:tcPr/>
          <w:p>
            <w:pPr>
              <w:pStyle w:val="Compact"/>
            </w:pPr>
            <w:r>
              <w:t xml:space="preserve">Clinical Result</w:t>
            </w:r>
          </w:p>
        </w:tc>
      </w:tr>
      <w:tr>
        <w:tc>
          <w:tcPr/>
          <w:p>
            <w:pPr>
              <w:pStyle w:val="Compact"/>
            </w:pPr>
            <w:r>
              <w:rPr>
                <w:b/>
                <w:bCs/>
              </w:rPr>
              <w:t xml:space="preserve">Caffeine</w:t>
            </w:r>
          </w:p>
        </w:tc>
        <w:tc>
          <w:tcPr/>
          <w:p>
            <w:pPr>
              <w:pStyle w:val="Compact"/>
            </w:pPr>
            <w:r>
              <w:t xml:space="preserve">~50% CP reduction (CAP trial, n=2,006)</w:t>
            </w:r>
          </w:p>
        </w:tc>
      </w:tr>
      <w:tr>
        <w:tc>
          <w:tcPr/>
          <w:p>
            <w:pPr>
              <w:pStyle w:val="Compact"/>
            </w:pPr>
            <w:r>
              <w:rPr>
                <w:b/>
                <w:bCs/>
              </w:rPr>
              <w:t xml:space="preserve">EPO</w:t>
            </w:r>
          </w:p>
        </w:tc>
        <w:tc>
          <w:tcPr/>
          <w:p>
            <w:pPr>
              <w:pStyle w:val="Compact"/>
            </w:pPr>
            <w:r>
              <w:t xml:space="preserve">Strong animal evidence; Phase III disappointing overall but subgroup signals</w:t>
            </w:r>
          </w:p>
        </w:tc>
      </w:tr>
      <w:tr>
        <w:tc>
          <w:tcPr/>
          <w:p>
            <w:pPr>
              <w:pStyle w:val="Compact"/>
            </w:pPr>
            <w:r>
              <w:rPr>
                <w:b/>
                <w:bCs/>
              </w:rPr>
              <w:t xml:space="preserve">HBOT</w:t>
            </w:r>
          </w:p>
        </w:tc>
        <w:tc>
          <w:tcPr/>
          <w:p>
            <w:pPr>
              <w:pStyle w:val="Compact"/>
            </w:pPr>
            <w:r>
              <w:t xml:space="preserve">Significant ASD improvement (Rossignol RCT); CP motor gains</w:t>
            </w:r>
          </w:p>
        </w:tc>
      </w:tr>
      <w:tr>
        <w:tc>
          <w:tcPr/>
          <w:p>
            <w:pPr>
              <w:pStyle w:val="Compact"/>
            </w:pPr>
            <w:r>
              <w:rPr>
                <w:b/>
                <w:bCs/>
              </w:rPr>
              <w:t xml:space="preserve">Iron</w:t>
            </w:r>
          </w:p>
        </w:tc>
        <w:tc>
          <w:tcPr/>
          <w:p>
            <w:pPr>
              <w:pStyle w:val="Compact"/>
            </w:pPr>
            <w:r>
              <w:t xml:space="preserve">Consistent association between iron status and neurodevelopment</w:t>
            </w:r>
          </w:p>
        </w:tc>
      </w:tr>
      <w:tr>
        <w:tc>
          <w:tcPr/>
          <w:p>
            <w:pPr>
              <w:pStyle w:val="Compact"/>
            </w:pPr>
            <w:r>
              <w:rPr>
                <w:b/>
                <w:bCs/>
              </w:rPr>
              <w:t xml:space="preserve">Exercise</w:t>
            </w:r>
          </w:p>
        </w:tc>
        <w:tc>
          <w:tcPr/>
          <w:p>
            <w:pPr>
              <w:pStyle w:val="Compact"/>
            </w:pPr>
            <w:r>
              <w:t xml:space="preserve">~30% PE risk reduction; neurodevelopmental benefits</w:t>
            </w:r>
          </w:p>
        </w:tc>
      </w:tr>
    </w:tbl>
    <w:p>
      <w:pPr>
        <w:pStyle w:val="BodyText"/>
      </w:pPr>
      <w:r>
        <w:t xml:space="preserve">Compared with single-arm therapies: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Single-Arm Therapies</w:t>
            </w:r>
          </w:p>
        </w:tc>
        <w:tc>
          <w:tcPr/>
          <w:p>
            <w:pPr>
              <w:pStyle w:val="Compact"/>
            </w:pPr>
            <w:r>
              <w:t xml:space="preserve">Clinical Result</w:t>
            </w:r>
          </w:p>
        </w:tc>
      </w:tr>
      <w:tr>
        <w:tc>
          <w:tcPr/>
          <w:p>
            <w:pPr>
              <w:pStyle w:val="Compact"/>
            </w:pPr>
            <w:r>
              <w:rPr>
                <w:b/>
                <w:bCs/>
              </w:rPr>
              <w:t xml:space="preserve">T3</w:t>
            </w:r>
            <w:r>
              <w:t xml:space="preserve"> </w:t>
            </w:r>
            <w:r>
              <w:t xml:space="preserve">(Arm B only)</w:t>
            </w:r>
          </w:p>
        </w:tc>
        <w:tc>
          <w:tcPr/>
          <w:p>
            <w:pPr>
              <w:pStyle w:val="Compact"/>
            </w:pPr>
            <w:r>
              <w:t xml:space="preserve">Specific to hypothyroid populations</w:t>
            </w:r>
          </w:p>
        </w:tc>
      </w:tr>
      <w:tr>
        <w:tc>
          <w:tcPr/>
          <w:p>
            <w:pPr>
              <w:pStyle w:val="Compact"/>
            </w:pPr>
            <w:r>
              <w:rPr>
                <w:b/>
                <w:bCs/>
              </w:rPr>
              <w:t xml:space="preserve">DHA</w:t>
            </w:r>
            <w:r>
              <w:t xml:space="preserve"> </w:t>
            </w:r>
            <w:r>
              <w:t xml:space="preserve">(Arm B only)</w:t>
            </w:r>
          </w:p>
        </w:tc>
        <w:tc>
          <w:tcPr/>
          <w:p>
            <w:pPr>
              <w:pStyle w:val="Compact"/>
            </w:pPr>
            <w:r>
              <w:t xml:space="preserve">Inconsistent clinical results</w:t>
            </w:r>
          </w:p>
        </w:tc>
      </w:tr>
      <w:tr>
        <w:tc>
          <w:tcPr/>
          <w:p>
            <w:pPr>
              <w:pStyle w:val="Compact"/>
            </w:pPr>
            <w:r>
              <w:rPr>
                <w:b/>
                <w:bCs/>
              </w:rPr>
              <w:t xml:space="preserve">MgSO₄</w:t>
            </w:r>
            <w:r>
              <w:t xml:space="preserve"> </w:t>
            </w:r>
            <w:r>
              <w:t xml:space="preserve">(Arm B only)</w:t>
            </w:r>
          </w:p>
        </w:tc>
        <w:tc>
          <w:tcPr/>
          <w:p>
            <w:pPr>
              <w:pStyle w:val="Compact"/>
            </w:pPr>
            <w:r>
              <w:t xml:space="preserve">~30% CP reduction</w:t>
            </w:r>
          </w:p>
        </w:tc>
      </w:tr>
      <w:tr>
        <w:tc>
          <w:tcPr/>
          <w:p>
            <w:pPr>
              <w:pStyle w:val="Compact"/>
            </w:pPr>
            <w:r>
              <w:rPr>
                <w:b/>
                <w:bCs/>
              </w:rPr>
              <w:t xml:space="preserve">Music therapy</w:t>
            </w:r>
            <w:r>
              <w:t xml:space="preserve"> </w:t>
            </w:r>
            <w:r>
              <w:t xml:space="preserve">(Arm B only)</w:t>
            </w:r>
          </w:p>
        </w:tc>
        <w:tc>
          <w:tcPr/>
          <w:p>
            <w:pPr>
              <w:pStyle w:val="Compact"/>
            </w:pPr>
            <w:r>
              <w:t xml:space="preserve">Modest improvements</w:t>
            </w:r>
          </w:p>
        </w:tc>
      </w:tr>
      <w:tr>
        <w:tc>
          <w:tcPr/>
          <w:p>
            <w:pPr>
              <w:pStyle w:val="Compact"/>
            </w:pPr>
            <w:r>
              <w:rPr>
                <w:b/>
                <w:bCs/>
              </w:rPr>
              <w:t xml:space="preserve">Clemastine</w:t>
            </w:r>
            <w:r>
              <w:t xml:space="preserve"> </w:t>
            </w:r>
            <w:r>
              <w:t xml:space="preserve">(Arm B only)</w:t>
            </w:r>
          </w:p>
        </w:tc>
        <w:tc>
          <w:tcPr/>
          <w:p>
            <w:pPr>
              <w:pStyle w:val="Compact"/>
            </w:pPr>
            <w:r>
              <w:t xml:space="preserve">Untested in developmental WMI</w:t>
            </w:r>
          </w:p>
        </w:tc>
      </w:tr>
      <w:tr>
        <w:tc>
          <w:tcPr/>
          <w:p>
            <w:pPr>
              <w:pStyle w:val="Compact"/>
            </w:pPr>
            <w:r>
              <w:rPr>
                <w:b/>
                <w:bCs/>
              </w:rPr>
              <w:t xml:space="preserve">UCB cells</w:t>
            </w:r>
            <w:r>
              <w:t xml:space="preserve"> </w:t>
            </w:r>
            <w:r>
              <w:t xml:space="preserve">(Arm B only)</w:t>
            </w:r>
          </w:p>
        </w:tc>
        <w:tc>
          <w:tcPr/>
          <w:p>
            <w:pPr>
              <w:pStyle w:val="Compact"/>
            </w:pPr>
            <w:r>
              <w:t xml:space="preserve">Early-phase trials; preliminary signals</w:t>
            </w:r>
          </w:p>
        </w:tc>
      </w:tr>
    </w:tbl>
    <w:p>
      <w:pPr>
        <w:pStyle w:val="BodyText"/>
      </w:pPr>
      <w:r>
        <w:t xml:space="preserve">The pattern suggests that addressing oxygen delivery AND OPC maturation simultaneously produces greater clinical benefit than addressing either arm alone. This is consistent with the proposed mechanism: if the injury involves both inadequate oxygen AND arrested maturation, optimal treatment requires correcting both.</w:t>
      </w:r>
    </w:p>
    <w:p>
      <w:r>
        <w:pict>
          <v:rect style="width:0;height:1.5pt" o:hralign="center" o:hrstd="t" o:hr="t"/>
        </w:pict>
      </w:r>
    </w:p>
    <w:bookmarkEnd w:id="32"/>
    <w:bookmarkStart w:id="36" w:name="X1a9edb5c4ee6a0255bd93a54c060bf32267693a"/>
    <w:p>
      <w:pPr>
        <w:pStyle w:val="Heading2"/>
      </w:pPr>
      <w:r>
        <w:t xml:space="preserve">5. The Untested Intervention: Clemastine in Developmental White Matter Injury</w:t>
      </w:r>
    </w:p>
    <w:bookmarkStart w:id="33" w:name="Xfa155df1663c3ae9c30589787621766c96a6565"/>
    <w:p>
      <w:pPr>
        <w:pStyle w:val="Heading3"/>
      </w:pPr>
      <w:r>
        <w:t xml:space="preserve">5.1 Why Clemastine Is Mechanistically Optimal</w:t>
      </w:r>
    </w:p>
    <w:p>
      <w:pPr>
        <w:pStyle w:val="FirstParagraph"/>
      </w:pPr>
      <w:r>
        <w:t xml:space="preserve">Clemastine occupies a unique position in the convergence analysis:</w:t>
      </w:r>
      <w:r>
        <w:t xml:space="preserve"> </w:t>
      </w:r>
      <w:r>
        <w:t xml:space="preserve">- It is the</w:t>
      </w:r>
      <w:r>
        <w:t xml:space="preserve"> </w:t>
      </w:r>
      <w:r>
        <w:rPr>
          <w:b/>
          <w:bCs/>
        </w:rPr>
        <w:t xml:space="preserve">most potent known pharmacological promoter of OPC differentiation</w:t>
      </w:r>
      <w:r>
        <w:t xml:space="preserve"> </w:t>
      </w:r>
      <w:r>
        <w:t xml:space="preserve">(Mei et al., 2014)</w:t>
      </w:r>
      <w:r>
        <w:t xml:space="preserve"> </w:t>
      </w:r>
      <w:r>
        <w:t xml:space="preserve">- It has demonstrated</w:t>
      </w:r>
      <w:r>
        <w:t xml:space="preserve"> </w:t>
      </w:r>
      <w:r>
        <w:rPr>
          <w:b/>
          <w:bCs/>
        </w:rPr>
        <w:t xml:space="preserve">in vivo remyelination in humans</w:t>
      </w:r>
      <w:r>
        <w:t xml:space="preserve"> </w:t>
      </w:r>
      <w:r>
        <w:t xml:space="preserve">(Green et al., 2017, ReBUILD trial in MS)</w:t>
      </w:r>
      <w:r>
        <w:t xml:space="preserve"> </w:t>
      </w:r>
      <w:r>
        <w:t xml:space="preserve">- It is</w:t>
      </w:r>
      <w:r>
        <w:t xml:space="preserve"> </w:t>
      </w:r>
      <w:r>
        <w:rPr>
          <w:b/>
          <w:bCs/>
        </w:rPr>
        <w:t xml:space="preserve">FDA-approved</w:t>
      </w:r>
      <w:r>
        <w:t xml:space="preserve">, widely available, inexpensive, and has a well-characterised safety profile</w:t>
      </w:r>
      <w:r>
        <w:t xml:space="preserve"> </w:t>
      </w:r>
      <w:r>
        <w:t xml:space="preserve">- It has</w:t>
      </w:r>
      <w:r>
        <w:t xml:space="preserve"> </w:t>
      </w:r>
      <w:r>
        <w:rPr>
          <w:b/>
          <w:bCs/>
        </w:rPr>
        <w:t xml:space="preserve">never been tested in developmental white matter injury</w:t>
      </w:r>
    </w:p>
    <w:bookmarkEnd w:id="33"/>
    <w:bookmarkStart w:id="34" w:name="the-mechanistic-rationale"/>
    <w:p>
      <w:pPr>
        <w:pStyle w:val="Heading3"/>
      </w:pPr>
      <w:r>
        <w:t xml:space="preserve">5.2 The Mechanistic Rationale</w:t>
      </w:r>
    </w:p>
    <w:p>
      <w:pPr>
        <w:pStyle w:val="FirstParagraph"/>
      </w:pPr>
      <w:r>
        <w:t xml:space="preserve">If preOLs undergo maturation arrest during the gestational vulnerability window (23–32 weeks), and if these arrested progenitors persist in the white matter (as the maturation arrest model proposes — they survive but fail to differentiate), then clemastine’s mechanism of promoting OPC differentiation should directly address the cellular lesion. Unlike T3, which acts through nuclear receptors with broad developmental effects, clemastine’s mechanism (muscarinic M1/M3 antagonism releasing OPCs from proliferative signalling) is more specific to the differentiation step.</w:t>
      </w:r>
    </w:p>
    <w:bookmarkEnd w:id="34"/>
    <w:bookmarkStart w:id="35" w:name="the-proposed-test"/>
    <w:p>
      <w:pPr>
        <w:pStyle w:val="Heading3"/>
      </w:pPr>
      <w:r>
        <w:t xml:space="preserve">5.3 The Proposed Test</w:t>
      </w:r>
    </w:p>
    <w:p>
      <w:pPr>
        <w:pStyle w:val="FirstParagraph"/>
      </w:pPr>
      <w:r>
        <w:t xml:space="preserve">A clinical trial of clemastine in children with established white matter injury of prematurity (diagnosed by MRI showing diffuse white matter abnormality) would test whether arrested OPCs can be pharmacologically driven to complete their maturation programme postnatally. Outcome measures: DTI fractional anisotropy changes (structural), visual evoked potential latency (functional), and neurodevelopmental assessment (clinical).</w:t>
      </w:r>
    </w:p>
    <w:p>
      <w:pPr>
        <w:pStyle w:val="BodyText"/>
      </w:pPr>
      <w:r>
        <w:t xml:space="preserve">This represents the most directly targeted, mechanistically justified, and readily implementable test of the OPC maturation arrest hypothesis. If clemastine can promote remyelination in adult MS (where the cellular challenge is similar — arrested OPCs failing to remyelinate), it should be tested in the developmental context where the mechanistic rationale is at least as strong.</w:t>
      </w:r>
    </w:p>
    <w:p>
      <w:r>
        <w:pict>
          <v:rect style="width:0;height:1.5pt" o:hralign="center" o:hrstd="t" o:hr="t"/>
        </w:pict>
      </w:r>
    </w:p>
    <w:bookmarkEnd w:id="35"/>
    <w:bookmarkEnd w:id="36"/>
    <w:bookmarkStart w:id="39" w:name="adversarial-stress-test"/>
    <w:p>
      <w:pPr>
        <w:pStyle w:val="Heading2"/>
      </w:pPr>
      <w:r>
        <w:t xml:space="preserve">6. Adversarial Stress Test</w:t>
      </w:r>
    </w:p>
    <w:bookmarkStart w:id="37" w:name="Xb1107d80efdfb2ab72750bbdcdec3ba88d99f1e"/>
    <w:p>
      <w:pPr>
        <w:pStyle w:val="Heading3"/>
      </w:pPr>
      <w:r>
        <w:t xml:space="preserve">6.1 What Would Disprove the Convergence Argument</w:t>
      </w:r>
    </w:p>
    <w:p>
      <w:pPr>
        <w:numPr>
          <w:ilvl w:val="0"/>
          <w:numId w:val="1003"/>
        </w:numPr>
      </w:pPr>
      <w:r>
        <w:rPr>
          <w:b/>
          <w:bCs/>
        </w:rPr>
        <w:t xml:space="preserve">Alternative common target:</w:t>
      </w:r>
      <w:r>
        <w:t xml:space="preserve"> </w:t>
      </w:r>
      <w:r>
        <w:t xml:space="preserve">If a non-OPC mechanism (e.g., neuroinflammation reduction, synaptic plasticity, vascular repair) explains the convergence equally well, the specificity of the OPC argument weakens. However, while several therapies are anti-inflammatory, anti-inflammation alone does not explain why T3 (the canonical OPC differentiator) and clemastine (the most potent OPC differentiator) are effective.</w:t>
      </w:r>
    </w:p>
    <w:p>
      <w:pPr>
        <w:numPr>
          <w:ilvl w:val="0"/>
          <w:numId w:val="1003"/>
        </w:numPr>
      </w:pPr>
      <w:r>
        <w:rPr>
          <w:b/>
          <w:bCs/>
        </w:rPr>
        <w:t xml:space="preserve">Non-converging effective treatments:</w:t>
      </w:r>
      <w:r>
        <w:t xml:space="preserve"> </w:t>
      </w:r>
      <w:r>
        <w:t xml:space="preserve">If therapies that work through mechanisms entirely unrelated to oxygen or OPC biology show equal or greater benefit, the convergence may be incomplete. Current evidence does not identify such therapies for developmental WMI specifically.</w:t>
      </w:r>
    </w:p>
    <w:p>
      <w:pPr>
        <w:numPr>
          <w:ilvl w:val="0"/>
          <w:numId w:val="1003"/>
        </w:numPr>
      </w:pPr>
      <w:r>
        <w:rPr>
          <w:b/>
          <w:bCs/>
        </w:rPr>
        <w:t xml:space="preserve">Clemastine failure in developmental WMI:</w:t>
      </w:r>
      <w:r>
        <w:t xml:space="preserve"> </w:t>
      </w:r>
      <w:r>
        <w:t xml:space="preserve">If clemastine — the most potent and specific OPC differentiator — fails to produce any benefit in developmental white matter injury, the maturation arrest model would be significantly weakened for the population in which OPCs would need to be rescued.</w:t>
      </w:r>
    </w:p>
    <w:p>
      <w:pPr>
        <w:numPr>
          <w:ilvl w:val="0"/>
          <w:numId w:val="1003"/>
        </w:numPr>
      </w:pPr>
      <w:r>
        <w:rPr>
          <w:b/>
          <w:bCs/>
        </w:rPr>
        <w:t xml:space="preserve">No dose-response:</w:t>
      </w:r>
      <w:r>
        <w:t xml:space="preserve"> </w:t>
      </w:r>
      <w:r>
        <w:t xml:space="preserve">If increasing the</w:t>
      </w:r>
      <w:r>
        <w:t xml:space="preserve"> </w:t>
      </w:r>
      <w:r>
        <w:t xml:space="preserve">“dose”</w:t>
      </w:r>
      <w:r>
        <w:t xml:space="preserve"> </w:t>
      </w:r>
      <w:r>
        <w:t xml:space="preserve">of OPC-targeted therapy (e.g., combining caffeine + clemastine + T3 optimisation) shows no incremental benefit over single agents, the OPC target may be less important than other pathways.</w:t>
      </w:r>
    </w:p>
    <w:bookmarkEnd w:id="37"/>
    <w:bookmarkStart w:id="38" w:name="limitations"/>
    <w:p>
      <w:pPr>
        <w:pStyle w:val="Heading3"/>
      </w:pPr>
      <w:r>
        <w:t xml:space="preserve">6.2 Limitations</w:t>
      </w:r>
    </w:p>
    <w:p>
      <w:pPr>
        <w:pStyle w:val="Compact"/>
        <w:numPr>
          <w:ilvl w:val="0"/>
          <w:numId w:val="1004"/>
        </w:numPr>
      </w:pPr>
      <w:r>
        <w:rPr>
          <w:b/>
          <w:bCs/>
        </w:rPr>
        <w:t xml:space="preserve">Pleiotropic effects:</w:t>
      </w:r>
      <w:r>
        <w:t xml:space="preserve"> </w:t>
      </w:r>
      <w:r>
        <w:t xml:space="preserve">Every therapy listed has multiple mechanisms of action. The attribution of benefit specifically to the OPC pathway is inferential, not directly measured.</w:t>
      </w:r>
    </w:p>
    <w:p>
      <w:pPr>
        <w:pStyle w:val="Compact"/>
        <w:numPr>
          <w:ilvl w:val="0"/>
          <w:numId w:val="1004"/>
        </w:numPr>
      </w:pPr>
      <w:r>
        <w:rPr>
          <w:b/>
          <w:bCs/>
        </w:rPr>
        <w:t xml:space="preserve">Post-hoc analysis:</w:t>
      </w:r>
      <w:r>
        <w:t xml:space="preserve"> </w:t>
      </w:r>
      <w:r>
        <w:t xml:space="preserve">This is a retrospective pattern recognition exercise. The therapies were not designed or tested as OPC-targeted interventions.</w:t>
      </w:r>
    </w:p>
    <w:p>
      <w:pPr>
        <w:pStyle w:val="Compact"/>
        <w:numPr>
          <w:ilvl w:val="0"/>
          <w:numId w:val="1004"/>
        </w:numPr>
      </w:pPr>
      <w:r>
        <w:rPr>
          <w:b/>
          <w:bCs/>
        </w:rPr>
        <w:t xml:space="preserve">Publication bias:</w:t>
      </w:r>
      <w:r>
        <w:t xml:space="preserve"> </w:t>
      </w:r>
      <w:r>
        <w:t xml:space="preserve">Positive trials are more likely published. Therapies targeting OPC biology that showed no benefit may exist but be unpublished.</w:t>
      </w:r>
    </w:p>
    <w:p>
      <w:pPr>
        <w:pStyle w:val="Compact"/>
        <w:numPr>
          <w:ilvl w:val="0"/>
          <w:numId w:val="1004"/>
        </w:numPr>
      </w:pPr>
      <w:r>
        <w:rPr>
          <w:b/>
          <w:bCs/>
        </w:rPr>
        <w:t xml:space="preserve">Different conditions tested:</w:t>
      </w:r>
      <w:r>
        <w:t xml:space="preserve"> </w:t>
      </w:r>
      <w:r>
        <w:t xml:space="preserve">The eleven therapies were tested in different populations (preterm, term HIE, ASD, CP, MS). Convergence across conditions strengthens the argument if the mechanism is shared, but weakens it if conditions are heterogeneous.</w:t>
      </w:r>
    </w:p>
    <w:p>
      <w:r>
        <w:pict>
          <v:rect style="width:0;height:1.5pt" o:hralign="center" o:hrstd="t" o:hr="t"/>
        </w:pict>
      </w:r>
    </w:p>
    <w:bookmarkEnd w:id="38"/>
    <w:bookmarkEnd w:id="39"/>
    <w:bookmarkStart w:id="43" w:name="clinical-implications"/>
    <w:p>
      <w:pPr>
        <w:pStyle w:val="Heading2"/>
      </w:pPr>
      <w:r>
        <w:t xml:space="preserve">7. Clinical Implications</w:t>
      </w:r>
    </w:p>
    <w:bookmarkStart w:id="40" w:name="combination-therapy"/>
    <w:p>
      <w:pPr>
        <w:pStyle w:val="Heading3"/>
      </w:pPr>
      <w:r>
        <w:t xml:space="preserve">7.1 Combination Therapy</w:t>
      </w:r>
    </w:p>
    <w:p>
      <w:pPr>
        <w:pStyle w:val="FirstParagraph"/>
      </w:pPr>
      <w:r>
        <w:t xml:space="preserve">The convergence analysis suggests that optimal treatment for developmental white matter injury should address both arms simultaneously. A rational combination might include:</w:t>
      </w:r>
      <w:r>
        <w:t xml:space="preserve"> </w:t>
      </w:r>
      <w:r>
        <w:t xml:space="preserve">-</w:t>
      </w:r>
      <w:r>
        <w:t xml:space="preserve"> </w:t>
      </w:r>
      <w:r>
        <w:rPr>
          <w:b/>
          <w:bCs/>
        </w:rPr>
        <w:t xml:space="preserve">Caffeine</w:t>
      </w:r>
      <w:r>
        <w:t xml:space="preserve"> </w:t>
      </w:r>
      <w:r>
        <w:t xml:space="preserve">(Arm A — reduce intermittent hypoxia; Arm B — preserve OPCs) — already standard of care in preterm</w:t>
      </w:r>
      <w:r>
        <w:t xml:space="preserve"> </w:t>
      </w:r>
      <w:r>
        <w:t xml:space="preserve">-</w:t>
      </w:r>
      <w:r>
        <w:t xml:space="preserve"> </w:t>
      </w:r>
      <w:r>
        <w:rPr>
          <w:b/>
          <w:bCs/>
        </w:rPr>
        <w:t xml:space="preserve">Iron optimisation</w:t>
      </w:r>
      <w:r>
        <w:t xml:space="preserve"> </w:t>
      </w:r>
      <w:r>
        <w:t xml:space="preserve">(Arm A — restore haemoglobin; Arm B — PHD cofactor restoration)</w:t>
      </w:r>
      <w:r>
        <w:t xml:space="preserve"> </w:t>
      </w:r>
      <w:r>
        <w:t xml:space="preserve">-</w:t>
      </w:r>
      <w:r>
        <w:t xml:space="preserve"> </w:t>
      </w:r>
      <w:r>
        <w:rPr>
          <w:b/>
          <w:bCs/>
        </w:rPr>
        <w:t xml:space="preserve">T3 monitoring and supplementation</w:t>
      </w:r>
      <w:r>
        <w:t xml:space="preserve"> </w:t>
      </w:r>
      <w:r>
        <w:t xml:space="preserve">(Arm B — ensure canonical differentiation signal)</w:t>
      </w:r>
      <w:r>
        <w:t xml:space="preserve"> </w:t>
      </w:r>
      <w:r>
        <w:t xml:space="preserve">-</w:t>
      </w:r>
      <w:r>
        <w:t xml:space="preserve"> </w:t>
      </w:r>
      <w:r>
        <w:rPr>
          <w:b/>
          <w:bCs/>
        </w:rPr>
        <w:t xml:space="preserve">Clemastine</w:t>
      </w:r>
      <w:r>
        <w:t xml:space="preserve"> </w:t>
      </w:r>
      <w:r>
        <w:t xml:space="preserve">(Arm B — promote OPC differentiation) — requires clinical trial</w:t>
      </w:r>
    </w:p>
    <w:bookmarkEnd w:id="40"/>
    <w:bookmarkStart w:id="41" w:name="prevention-over-rescue"/>
    <w:p>
      <w:pPr>
        <w:pStyle w:val="Heading3"/>
      </w:pPr>
      <w:r>
        <w:t xml:space="preserve">7.2 Prevention Over Rescue</w:t>
      </w:r>
    </w:p>
    <w:p>
      <w:pPr>
        <w:pStyle w:val="FirstParagraph"/>
      </w:pPr>
      <w:r>
        <w:t xml:space="preserve">The convergence also supports a prevention paradigm: maintaining adequate oxygen delivery and OPC-supportive conditions during the vulnerability window (23–32 weeks) should prevent maturation arrest more effectively than attempting to rescue arrested OPCs postnatally. This aligns with the established success of caffeine (prevention of IH events) and MgSO₄ (prevention of excitotoxic OPC death) in reducing CP.</w:t>
      </w:r>
    </w:p>
    <w:bookmarkEnd w:id="41"/>
    <w:bookmarkStart w:id="42" w:name="biomarker-guided-intervention"/>
    <w:p>
      <w:pPr>
        <w:pStyle w:val="Heading3"/>
      </w:pPr>
      <w:r>
        <w:t xml:space="preserve">7.3 Biomarker-Guided Intervention</w:t>
      </w:r>
    </w:p>
    <w:p>
      <w:pPr>
        <w:pStyle w:val="FirstParagraph"/>
      </w:pPr>
      <w:r>
        <w:t xml:space="preserve">If OPC maturation arrest is the mechanism, then biomarkers of OPC status — including DTI fractional anisotropy, MRI white matter volumes, and visual/auditory evoked potential latencies — should guide intervention timing and intensity.</w:t>
      </w:r>
    </w:p>
    <w:p>
      <w:r>
        <w:pict>
          <v:rect style="width:0;height:1.5pt" o:hralign="center" o:hrstd="t" o:hr="t"/>
        </w:pict>
      </w:r>
    </w:p>
    <w:bookmarkEnd w:id="42"/>
    <w:bookmarkEnd w:id="43"/>
    <w:bookmarkStart w:id="44" w:name="significance-statement"/>
    <w:p>
      <w:pPr>
        <w:pStyle w:val="Heading2"/>
      </w:pPr>
      <w:r>
        <w:t xml:space="preserve">8. Significance Statement</w:t>
      </w:r>
    </w:p>
    <w:p>
      <w:pPr>
        <w:pStyle w:val="FirstParagraph"/>
      </w:pPr>
      <w:r>
        <w:t xml:space="preserve">Eleven pharmacologically unrelated therapies — a gas (HBOT), a hormone (EPO), a thyroid regulator (T3), a mineral (iron), a stimulant (caffeine), a fatty acid (DHA), physical activity (exercise), auditory stimulation (music), an antihistamine (clemastine), an inorganic salt (MgSO₄), and stem cells (UCB) — all converge on two mechanistic targets: oxygen delivery to white matter and OPC maturation. This convergence provides independent, confirmatory evidence that arrested OPC maturation in chronically hypoperfused white matter is a central mechanism in developmental white matter injury, cerebral palsy, and specific neurodevelopmental phenotypes. The most potent known OPC differentiator (clemastine) has never been tested in this context and represents an immediately actionable therapeutic hypothesis.</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Barres BA, Lazar MA, Raff MC (1994). A novel role for thyroid hormone, glucocorticoids and retinoic acid in timing oligodendrocyte development.</w:t>
      </w:r>
      <w:r>
        <w:t xml:space="preserve"> </w:t>
      </w:r>
      <w:r>
        <w:rPr>
          <w:i/>
          <w:iCs/>
        </w:rPr>
        <w:t xml:space="preserve">Development</w:t>
      </w:r>
      <w:r>
        <w:t xml:space="preserve">, 120:1097-108.</w:t>
      </w:r>
    </w:p>
    <w:p>
      <w:pPr>
        <w:pStyle w:val="BodyText"/>
      </w:pPr>
      <w:r>
        <w:t xml:space="preserve">Belkind-Gerson J et al. (2008). Fatty acids and neurodevelopment.</w:t>
      </w:r>
      <w:r>
        <w:t xml:space="preserve"> </w:t>
      </w:r>
      <w:r>
        <w:rPr>
          <w:i/>
          <w:iCs/>
        </w:rPr>
        <w:t xml:space="preserve">J Pediatr Gastroenterol Nutr</w:t>
      </w:r>
      <w:r>
        <w:t xml:space="preserve">, 47:S7-S9.</w:t>
      </w:r>
    </w:p>
    <w:p>
      <w:pPr>
        <w:pStyle w:val="BodyText"/>
      </w:pPr>
      <w:r>
        <w:t xml:space="preserve">Berglund SK et al. (2010). Effects of iron supplementation on neurodevelopment in preterm infants.</w:t>
      </w:r>
      <w:r>
        <w:t xml:space="preserve"> </w:t>
      </w:r>
      <w:r>
        <w:rPr>
          <w:i/>
          <w:iCs/>
        </w:rPr>
        <w:t xml:space="preserve">Pediatrics</w:t>
      </w:r>
      <w:r>
        <w:t xml:space="preserve">, 126:e427-34.</w:t>
      </w:r>
    </w:p>
    <w:p>
      <w:pPr>
        <w:pStyle w:val="BodyText"/>
      </w:pPr>
      <w:r>
        <w:t xml:space="preserve">Bieleninik L et al. (2016). Effects of music therapy for preterm infants.</w:t>
      </w:r>
      <w:r>
        <w:t xml:space="preserve"> </w:t>
      </w:r>
      <w:r>
        <w:rPr>
          <w:i/>
          <w:iCs/>
        </w:rPr>
        <w:t xml:space="preserve">Int J Environ Res Public Health</w:t>
      </w:r>
      <w:r>
        <w:t xml:space="preserve">, 13:662.</w:t>
      </w:r>
    </w:p>
    <w:p>
      <w:pPr>
        <w:pStyle w:val="BodyText"/>
      </w:pPr>
      <w:r>
        <w:t xml:space="preserve">Calzà L et al. (2002). Thyroid hormone activates oligodendrocyte precursors and increases a myelin-forming protein and NGF content in the spinal cord during experimental allergic encephalomyelitis.</w:t>
      </w:r>
      <w:r>
        <w:t xml:space="preserve"> </w:t>
      </w:r>
      <w:r>
        <w:rPr>
          <w:i/>
          <w:iCs/>
        </w:rPr>
        <w:t xml:space="preserve">Proc Natl Acad Sci</w:t>
      </w:r>
      <w:r>
        <w:t xml:space="preserve">, 99:3258-63.</w:t>
      </w:r>
    </w:p>
    <w:p>
      <w:pPr>
        <w:pStyle w:val="BodyText"/>
      </w:pPr>
      <w:r>
        <w:t xml:space="preserve">Clapp JF et al. (2000). Beginning regular exercise in early pregnancy: effect on fetoplacental growth.</w:t>
      </w:r>
      <w:r>
        <w:t xml:space="preserve"> </w:t>
      </w:r>
      <w:r>
        <w:rPr>
          <w:i/>
          <w:iCs/>
        </w:rPr>
        <w:t xml:space="preserve">Am J Obstet Gynecol</w:t>
      </w:r>
      <w:r>
        <w:t xml:space="preserve">, 183:1484-8.</w:t>
      </w:r>
    </w:p>
    <w:p>
      <w:pPr>
        <w:pStyle w:val="BodyText"/>
      </w:pPr>
      <w:r>
        <w:t xml:space="preserve">Clandinin MT et al. (1980). Fatty acid composition of human brain phospholipid during normal development.</w:t>
      </w:r>
      <w:r>
        <w:t xml:space="preserve"> </w:t>
      </w:r>
      <w:r>
        <w:rPr>
          <w:i/>
          <w:iCs/>
        </w:rPr>
        <w:t xml:space="preserve">J Neurochem</w:t>
      </w:r>
      <w:r>
        <w:t xml:space="preserve">, 34:1640-46.</w:t>
      </w:r>
    </w:p>
    <w:p>
      <w:pPr>
        <w:pStyle w:val="BodyText"/>
      </w:pPr>
      <w:r>
        <w:t xml:space="preserve">Collet JP et al. (2001). Hyperbaric oxygen for children with cerebral palsy.</w:t>
      </w:r>
      <w:r>
        <w:t xml:space="preserve"> </w:t>
      </w:r>
      <w:r>
        <w:rPr>
          <w:i/>
          <w:iCs/>
        </w:rPr>
        <w:t xml:space="preserve">Lancet</w:t>
      </w:r>
      <w:r>
        <w:t xml:space="preserve">, 357:582-6.</w:t>
      </w:r>
    </w:p>
    <w:p>
      <w:pPr>
        <w:pStyle w:val="BodyText"/>
      </w:pPr>
      <w:r>
        <w:t xml:space="preserve">Connor JR, Menzies SL (1996). Relationship of iron to oligodendrocytes and myelination.</w:t>
      </w:r>
      <w:r>
        <w:t xml:space="preserve"> </w:t>
      </w:r>
      <w:r>
        <w:rPr>
          <w:i/>
          <w:iCs/>
        </w:rPr>
        <w:t xml:space="preserve">Glia</w:t>
      </w:r>
      <w:r>
        <w:t xml:space="preserve">, 17:83-93.</w:t>
      </w:r>
    </w:p>
    <w:p>
      <w:pPr>
        <w:pStyle w:val="BodyText"/>
      </w:pPr>
      <w:r>
        <w:t xml:space="preserve">Cotten CM et al. (2014). Feasibility of autologous cord blood cells for infants with hypoxic-ischemic encephalopathy.</w:t>
      </w:r>
      <w:r>
        <w:t xml:space="preserve"> </w:t>
      </w:r>
      <w:r>
        <w:rPr>
          <w:i/>
          <w:iCs/>
        </w:rPr>
        <w:t xml:space="preserve">J Pediatr</w:t>
      </w:r>
      <w:r>
        <w:t xml:space="preserve">, 164:973-9.</w:t>
      </w:r>
    </w:p>
    <w:p>
      <w:pPr>
        <w:pStyle w:val="BodyText"/>
      </w:pPr>
      <w:r>
        <w:t xml:space="preserve">Crowther CA et al. (2003). Effect of magnesium sulfate given for neuroprotection before preterm birth (ACTOMgSO4).</w:t>
      </w:r>
      <w:r>
        <w:t xml:space="preserve"> </w:t>
      </w:r>
      <w:r>
        <w:rPr>
          <w:i/>
          <w:iCs/>
        </w:rPr>
        <w:t xml:space="preserve">JAMA</w:t>
      </w:r>
      <w:r>
        <w:t xml:space="preserve">, 290:2669-76.</w:t>
      </w:r>
    </w:p>
    <w:p>
      <w:pPr>
        <w:pStyle w:val="BodyText"/>
      </w:pPr>
      <w:r>
        <w:t xml:space="preserve">Davenport MH et al. (2018). Prenatal exercise for prevention of gestational hypertensive disorders.</w:t>
      </w:r>
      <w:r>
        <w:t xml:space="preserve"> </w:t>
      </w:r>
      <w:r>
        <w:rPr>
          <w:i/>
          <w:iCs/>
        </w:rPr>
        <w:t xml:space="preserve">Br J Sports Med</w:t>
      </w:r>
      <w:r>
        <w:t xml:space="preserve">, 52:1367-75.</w:t>
      </w:r>
    </w:p>
    <w:p>
      <w:pPr>
        <w:pStyle w:val="BodyText"/>
      </w:pPr>
      <w:r>
        <w:t xml:space="preserve">Doyle LW et al. (2009). Magnesium sulphate for women at risk of preterm birth for neuroprotection of the fetus (meta-analysis).</w:t>
      </w:r>
      <w:r>
        <w:t xml:space="preserve"> </w:t>
      </w:r>
      <w:r>
        <w:rPr>
          <w:i/>
          <w:iCs/>
        </w:rPr>
        <w:t xml:space="preserve">Cochrane Database Syst Rev</w:t>
      </w:r>
      <w:r>
        <w:t xml:space="preserve">, CD004661.</w:t>
      </w:r>
    </w:p>
    <w:p>
      <w:pPr>
        <w:pStyle w:val="BodyText"/>
      </w:pPr>
      <w:r>
        <w:t xml:space="preserve">Endesfelder S et al. (2017). Caffeine protects against hyperoxia-induced oxidative stress in developing white matter.</w:t>
      </w:r>
      <w:r>
        <w:t xml:space="preserve"> </w:t>
      </w:r>
      <w:r>
        <w:rPr>
          <w:i/>
          <w:iCs/>
        </w:rPr>
        <w:t xml:space="preserve">Oxid Med Cell Longev</w:t>
      </w:r>
      <w:r>
        <w:t xml:space="preserve">, 2017:8921702.</w:t>
      </w:r>
    </w:p>
    <w:p>
      <w:pPr>
        <w:pStyle w:val="BodyText"/>
      </w:pPr>
      <w:r>
        <w:t xml:space="preserve">Georgieff MK (2011). Long-term brain and behavioral consequences of early iron deficiency.</w:t>
      </w:r>
      <w:r>
        <w:t xml:space="preserve"> </w:t>
      </w:r>
      <w:r>
        <w:rPr>
          <w:i/>
          <w:iCs/>
        </w:rPr>
        <w:t xml:space="preserve">Nutr Rev</w:t>
      </w:r>
      <w:r>
        <w:t xml:space="preserve">, 69 Suppl 1:S43-8.</w:t>
      </w:r>
    </w:p>
    <w:p>
      <w:pPr>
        <w:pStyle w:val="BodyText"/>
      </w:pPr>
      <w:r>
        <w:t xml:space="preserve">Gonzalez FF et al. (2013). Erythropoietin increases neurogenesis and oligodynamics after neonatal stroke.</w:t>
      </w:r>
      <w:r>
        <w:t xml:space="preserve"> </w:t>
      </w:r>
      <w:r>
        <w:rPr>
          <w:i/>
          <w:iCs/>
        </w:rPr>
        <w:t xml:space="preserve">Stroke</w:t>
      </w:r>
      <w:r>
        <w:t xml:space="preserve">, 44:753-8. PMID: 23595774.</w:t>
      </w:r>
    </w:p>
    <w:p>
      <w:pPr>
        <w:pStyle w:val="BodyText"/>
      </w:pPr>
      <w:r>
        <w:t xml:space="preserve">Green AJ et al. (2017). Clemastine fumarate as a remyelinating therapy for multiple sclerosis (ReBUILD).</w:t>
      </w:r>
      <w:r>
        <w:t xml:space="preserve"> </w:t>
      </w:r>
      <w:r>
        <w:rPr>
          <w:i/>
          <w:iCs/>
        </w:rPr>
        <w:t xml:space="preserve">Lancet</w:t>
      </w:r>
      <w:r>
        <w:t xml:space="preserve">, 390:2481-2489.</w:t>
      </w:r>
    </w:p>
    <w:p>
      <w:pPr>
        <w:pStyle w:val="BodyText"/>
      </w:pPr>
      <w:r>
        <w:t xml:space="preserve">Iwai M et al. (2010). Erythropoietin promotes neurogenesis and oligodendroglia synthesis through EPO receptor.</w:t>
      </w:r>
      <w:r>
        <w:t xml:space="preserve"> </w:t>
      </w:r>
      <w:r>
        <w:rPr>
          <w:i/>
          <w:iCs/>
        </w:rPr>
        <w:t xml:space="preserve">Neuroscience</w:t>
      </w:r>
      <w:r>
        <w:t xml:space="preserve">, 167:440-8.</w:t>
      </w:r>
    </w:p>
    <w:p>
      <w:pPr>
        <w:pStyle w:val="BodyText"/>
      </w:pPr>
      <w:r>
        <w:t xml:space="preserve">Juul SE et al. (2020). A randomized trial of erythropoietin for neuroprotection in preterm infants (PENUT).</w:t>
      </w:r>
      <w:r>
        <w:t xml:space="preserve"> </w:t>
      </w:r>
      <w:r>
        <w:rPr>
          <w:i/>
          <w:iCs/>
        </w:rPr>
        <w:t xml:space="preserve">N Engl J Med</w:t>
      </w:r>
      <w:r>
        <w:t xml:space="preserve">, 382:233-243.</w:t>
      </w:r>
    </w:p>
    <w:p>
      <w:pPr>
        <w:pStyle w:val="BodyText"/>
      </w:pPr>
      <w:r>
        <w:t xml:space="preserve">Kang M et al. (2015). Involvement of immune responses in the efficacy of cord blood cell therapy for cerebral palsy.</w:t>
      </w:r>
      <w:r>
        <w:t xml:space="preserve"> </w:t>
      </w:r>
      <w:r>
        <w:rPr>
          <w:i/>
          <w:iCs/>
        </w:rPr>
        <w:t xml:space="preserve">Stem Cells Dev</w:t>
      </w:r>
      <w:r>
        <w:t xml:space="preserve">, 24:2259-68.</w:t>
      </w:r>
    </w:p>
    <w:p>
      <w:pPr>
        <w:pStyle w:val="BodyText"/>
      </w:pPr>
      <w:r>
        <w:t xml:space="preserve">Kou K et al. (2024). Exercise interventions and ASD: meta-analysis of white matter-dependent outcomes.</w:t>
      </w:r>
    </w:p>
    <w:p>
      <w:pPr>
        <w:pStyle w:val="BodyText"/>
      </w:pPr>
      <w:r>
        <w:t xml:space="preserve">Lacey JL et al. (2012). Hyperbaric oxygen therapy in children with cerebral palsy.</w:t>
      </w:r>
      <w:r>
        <w:t xml:space="preserve"> </w:t>
      </w:r>
      <w:r>
        <w:rPr>
          <w:i/>
          <w:iCs/>
        </w:rPr>
        <w:t xml:space="preserve">J Child Neurol</w:t>
      </w:r>
      <w:r>
        <w:t xml:space="preserve">, 27:172-5.</w:t>
      </w:r>
    </w:p>
    <w:p>
      <w:pPr>
        <w:pStyle w:val="BodyText"/>
      </w:pPr>
      <w:r>
        <w:t xml:space="preserve">Li J et al. (2016). Human umbilical cord blood-derived mesenchymal stem cells contribute to chondrogenesis.</w:t>
      </w:r>
      <w:r>
        <w:t xml:space="preserve"> </w:t>
      </w:r>
      <w:r>
        <w:rPr>
          <w:i/>
          <w:iCs/>
        </w:rPr>
        <w:t xml:space="preserve">Cell Tissue Res</w:t>
      </w:r>
      <w:r>
        <w:t xml:space="preserve">, 366:101-11.</w:t>
      </w:r>
    </w:p>
    <w:p>
      <w:pPr>
        <w:pStyle w:val="BodyText"/>
      </w:pPr>
      <w:r>
        <w:t xml:space="preserve">Makrides M et al. (2009). Neurodevelopmental outcomes of preterm infants fed high-dose docosahexaenoic acid (DINO).</w:t>
      </w:r>
      <w:r>
        <w:t xml:space="preserve"> </w:t>
      </w:r>
      <w:r>
        <w:rPr>
          <w:i/>
          <w:iCs/>
        </w:rPr>
        <w:t xml:space="preserve">JAMA</w:t>
      </w:r>
      <w:r>
        <w:t xml:space="preserve">, 301:175-82.</w:t>
      </w:r>
    </w:p>
    <w:p>
      <w:pPr>
        <w:pStyle w:val="BodyText"/>
      </w:pPr>
      <w:r>
        <w:t xml:space="preserve">McDonald CA et al. (2018). Umbilical cord blood cells for treatment of cerebral palsy.</w:t>
      </w:r>
      <w:r>
        <w:t xml:space="preserve"> </w:t>
      </w:r>
      <w:r>
        <w:rPr>
          <w:i/>
          <w:iCs/>
        </w:rPr>
        <w:t xml:space="preserve">Dev Neurosci</w:t>
      </w:r>
      <w:r>
        <w:t xml:space="preserve">, 40:258-275.</w:t>
      </w:r>
    </w:p>
    <w:p>
      <w:pPr>
        <w:pStyle w:val="BodyText"/>
      </w:pPr>
      <w:r>
        <w:t xml:space="preserve">Mei F et al. (2014). Micropillar arrays as a high-throughput screening platform for therapeutics in multiple sclerosis.</w:t>
      </w:r>
      <w:r>
        <w:t xml:space="preserve"> </w:t>
      </w:r>
      <w:r>
        <w:rPr>
          <w:i/>
          <w:iCs/>
        </w:rPr>
        <w:t xml:space="preserve">Nat Med</w:t>
      </w:r>
      <w:r>
        <w:t xml:space="preserve">, 20:954-60.</w:t>
      </w:r>
    </w:p>
    <w:p>
      <w:pPr>
        <w:pStyle w:val="BodyText"/>
      </w:pPr>
      <w:r>
        <w:t xml:space="preserve">Rao R et al. (1999). Perinatal brain iron deficiency increases hippocampal vulnerability.</w:t>
      </w:r>
      <w:r>
        <w:t xml:space="preserve"> </w:t>
      </w:r>
      <w:r>
        <w:rPr>
          <w:i/>
          <w:iCs/>
        </w:rPr>
        <w:t xml:space="preserve">J Nutr</w:t>
      </w:r>
      <w:r>
        <w:t xml:space="preserve">, 129:199-206.</w:t>
      </w:r>
    </w:p>
    <w:p>
      <w:pPr>
        <w:pStyle w:val="BodyText"/>
      </w:pPr>
      <w:r>
        <w:t xml:space="preserve">Rao R et al. (2006). Iron supplementation and white matter development in preterm infants.</w:t>
      </w:r>
    </w:p>
    <w:p>
      <w:pPr>
        <w:pStyle w:val="BodyText"/>
      </w:pPr>
      <w:r>
        <w:t xml:space="preserve">Rossignol DA et al. (2009). Hyperbaric treatment for children with autism: a multicenter RCT.</w:t>
      </w:r>
      <w:r>
        <w:t xml:space="preserve"> </w:t>
      </w:r>
      <w:r>
        <w:rPr>
          <w:i/>
          <w:iCs/>
        </w:rPr>
        <w:t xml:space="preserve">BMC Pediatr</w:t>
      </w:r>
      <w:r>
        <w:t xml:space="preserve">, 9:21.</w:t>
      </w:r>
    </w:p>
    <w:p>
      <w:pPr>
        <w:pStyle w:val="BodyText"/>
      </w:pPr>
      <w:r>
        <w:t xml:space="preserve">Rouse DJ et al. (2008). A randomized controlled trial of magnesium sulfate for prevention of cerebral palsy (BEAM).</w:t>
      </w:r>
      <w:r>
        <w:t xml:space="preserve"> </w:t>
      </w:r>
      <w:r>
        <w:rPr>
          <w:i/>
          <w:iCs/>
        </w:rPr>
        <w:t xml:space="preserve">N Engl J Med</w:t>
      </w:r>
      <w:r>
        <w:t xml:space="preserve">, 359:895-905.</w:t>
      </w:r>
    </w:p>
    <w:p>
      <w:pPr>
        <w:pStyle w:val="BodyText"/>
      </w:pPr>
      <w:r>
        <w:t xml:space="preserve">Sa de Almeida J et al. (2020). Music enhances structural maturation of emotional processing neural pathways in very preterm infants.</w:t>
      </w:r>
      <w:r>
        <w:t xml:space="preserve"> </w:t>
      </w:r>
      <w:r>
        <w:rPr>
          <w:i/>
          <w:iCs/>
        </w:rPr>
        <w:t xml:space="preserve">NeuroImage</w:t>
      </w:r>
      <w:r>
        <w:t xml:space="preserve">, 207:116391.</w:t>
      </w:r>
    </w:p>
    <w:p>
      <w:pPr>
        <w:pStyle w:val="BodyText"/>
      </w:pPr>
      <w:r>
        <w:t xml:space="preserve">Salvati S et al. (2008). DHA and myelin recovery.</w:t>
      </w:r>
      <w:r>
        <w:t xml:space="preserve"> </w:t>
      </w:r>
      <w:r>
        <w:rPr>
          <w:i/>
          <w:iCs/>
        </w:rPr>
        <w:t xml:space="preserve">J Nutr Biochem</w:t>
      </w:r>
      <w:r>
        <w:t xml:space="preserve">, 19:153-60.</w:t>
      </w:r>
    </w:p>
    <w:p>
      <w:pPr>
        <w:pStyle w:val="BodyText"/>
      </w:pPr>
      <w:r>
        <w:t xml:space="preserve">Schmidt B et al. (2006). Long-term effects of caffeine therapy for apnoea of prematurity.</w:t>
      </w:r>
      <w:r>
        <w:t xml:space="preserve"> </w:t>
      </w:r>
      <w:r>
        <w:rPr>
          <w:i/>
          <w:iCs/>
        </w:rPr>
        <w:t xml:space="preserve">N Engl J Med</w:t>
      </w:r>
      <w:r>
        <w:t xml:space="preserve">, 357:1893-902.</w:t>
      </w:r>
    </w:p>
    <w:p>
      <w:pPr>
        <w:pStyle w:val="BodyText"/>
      </w:pPr>
      <w:r>
        <w:t xml:space="preserve">Schmidt B et al. (2007). Caffeine therapy for apnoea of prematurity (CAP trial).</w:t>
      </w:r>
      <w:r>
        <w:t xml:space="preserve"> </w:t>
      </w:r>
      <w:r>
        <w:rPr>
          <w:i/>
          <w:iCs/>
        </w:rPr>
        <w:t xml:space="preserve">N Engl J Med</w:t>
      </w:r>
      <w:r>
        <w:t xml:space="preserve">, 357:1893-1902.</w:t>
      </w:r>
    </w:p>
    <w:p>
      <w:pPr>
        <w:pStyle w:val="BodyText"/>
      </w:pPr>
      <w:r>
        <w:t xml:space="preserve">Schmidt B et al. (2012). Survival without disability to age 5 years after neonatal caffeine therapy for apnoea.</w:t>
      </w:r>
      <w:r>
        <w:t xml:space="preserve"> </w:t>
      </w:r>
      <w:r>
        <w:rPr>
          <w:i/>
          <w:iCs/>
        </w:rPr>
        <w:t xml:space="preserve">JAMA</w:t>
      </w:r>
      <w:r>
        <w:t xml:space="preserve">, 307:275-82.</w:t>
      </w:r>
    </w:p>
    <w:p>
      <w:pPr>
        <w:pStyle w:val="BodyText"/>
      </w:pPr>
      <w:r>
        <w:t xml:space="preserve">Smithers LG et al. (2008). Effect of DHA supplementation in preterm infants on neurodevelopment.</w:t>
      </w:r>
      <w:r>
        <w:t xml:space="preserve"> </w:t>
      </w:r>
      <w:r>
        <w:rPr>
          <w:i/>
          <w:iCs/>
        </w:rPr>
        <w:t xml:space="preserve">Am J Clin Nutr</w:t>
      </w:r>
      <w:r>
        <w:t xml:space="preserve">, 88:1049-56.</w:t>
      </w:r>
    </w:p>
    <w:p>
      <w:pPr>
        <w:pStyle w:val="BodyText"/>
      </w:pPr>
      <w:r>
        <w:t xml:space="preserve">Sugawa M et al. (2002). Effects of erythropoietin on glial cell development.</w:t>
      </w:r>
      <w:r>
        <w:t xml:space="preserve"> </w:t>
      </w:r>
      <w:r>
        <w:rPr>
          <w:i/>
          <w:iCs/>
        </w:rPr>
        <w:t xml:space="preserve">Neurochem Res</w:t>
      </w:r>
      <w:r>
        <w:t xml:space="preserve">, 27:1479-85.</w:t>
      </w:r>
    </w:p>
    <w:p>
      <w:pPr>
        <w:pStyle w:val="BodyText"/>
      </w:pPr>
      <w:r>
        <w:t xml:space="preserve">Sun JM et al. (2019). Autologous cord blood infusion for neonatal hypoxic-ischaemic encephalopathy.</w:t>
      </w:r>
      <w:r>
        <w:t xml:space="preserve"> </w:t>
      </w:r>
      <w:r>
        <w:rPr>
          <w:i/>
          <w:iCs/>
        </w:rPr>
        <w:t xml:space="preserve">Pediatr Res</w:t>
      </w:r>
      <w:r>
        <w:t xml:space="preserve">, 85:851-8.</w:t>
      </w:r>
    </w:p>
    <w:p>
      <w:pPr>
        <w:pStyle w:val="BodyText"/>
      </w:pPr>
      <w:r>
        <w:t xml:space="preserve">Sun JM et al. (2021). Infusion of human umbilical cord tissue mesenchymal stromal cells in children with autism spectrum disorder.</w:t>
      </w:r>
      <w:r>
        <w:t xml:space="preserve"> </w:t>
      </w:r>
      <w:r>
        <w:rPr>
          <w:i/>
          <w:iCs/>
        </w:rPr>
        <w:t xml:space="preserve">Stem Cells Transl Med</w:t>
      </w:r>
      <w:r>
        <w:t xml:space="preserve">, 10:1131-40.</w:t>
      </w:r>
    </w:p>
    <w:p>
      <w:pPr>
        <w:pStyle w:val="BodyText"/>
      </w:pPr>
      <w:r>
        <w:t xml:space="preserve">Todorich B et al. (2009). Oligodendrocytes and myelination: the role of iron.</w:t>
      </w:r>
      <w:r>
        <w:t xml:space="preserve"> </w:t>
      </w:r>
      <w:r>
        <w:rPr>
          <w:i/>
          <w:iCs/>
        </w:rPr>
        <w:t xml:space="preserve">Glia</w:t>
      </w:r>
      <w:r>
        <w:t xml:space="preserve">, 57:467-78.</w:t>
      </w:r>
    </w:p>
    <w:p>
      <w:pPr>
        <w:pStyle w:val="BodyText"/>
      </w:pPr>
      <w:r>
        <w:t xml:space="preserve">Tu GS et al. (2025). Hyperbaric oxygen therapy for white matter injury: meta-analysis.</w:t>
      </w:r>
    </w:p>
    <w:p>
      <w:pPr>
        <w:pStyle w:val="BodyText"/>
      </w:pPr>
      <w:r>
        <w:t xml:space="preserve">van Wassenaer AG et al. (1997). Free thyroxine levels in preterm infants and neurodevelopmental outcome.</w:t>
      </w:r>
      <w:r>
        <w:t xml:space="preserve"> </w:t>
      </w:r>
      <w:r>
        <w:rPr>
          <w:i/>
          <w:iCs/>
        </w:rPr>
        <w:t xml:space="preserve">J Pediatr Endocrinol Metab</w:t>
      </w:r>
      <w:r>
        <w:t xml:space="preserve">, 10:375-83.</w:t>
      </w:r>
    </w:p>
    <w:p>
      <w:pPr>
        <w:pStyle w:val="BodyText"/>
      </w:pPr>
      <w:r>
        <w:t xml:space="preserve">Wu YW et al. (2022). High-dose erythropoietin and hypothermia for hypoxic-ischemic encephalopathy (HEAL trial).</w:t>
      </w:r>
      <w:r>
        <w:t xml:space="preserve"> </w:t>
      </w:r>
      <w:r>
        <w:rPr>
          <w:i/>
          <w:iCs/>
        </w:rPr>
        <w:t xml:space="preserve">N Engl J Med</w:t>
      </w:r>
      <w:r>
        <w:t xml:space="preserve">, 387:148-59.</w:t>
      </w:r>
    </w:p>
    <w:p>
      <w:pPr>
        <w:pStyle w:val="BodyText"/>
      </w:pPr>
      <w:r>
        <w:t xml:space="preserve">Yue W et al. (2021). Music therapy for preterm infants: meta-analysis.</w:t>
      </w:r>
      <w:r>
        <w:t xml:space="preserve"> </w:t>
      </w:r>
      <w:r>
        <w:rPr>
          <w:i/>
          <w:iCs/>
        </w:rPr>
        <w:t xml:space="preserve">Pediatrics</w:t>
      </w:r>
      <w:r>
        <w:t xml:space="preserve">, 147:e20202171.</w:t>
      </w:r>
    </w:p>
    <w:p>
      <w:pPr>
        <w:pStyle w:val="BodyText"/>
      </w:pPr>
      <w:r>
        <w:t xml:space="preserve">Zheng ZX et al. (2024). HBOT for cerebral palsy: meta-analysis. PMID: 39263173.</w:t>
      </w:r>
    </w:p>
    <w:p>
      <w:pPr>
        <w:pStyle w:val="BodyText"/>
      </w:pPr>
      <w:r>
        <w:t xml:space="preserve">Zhou Y et al. (2018). HBOT promotes remyelination in white matter injury models.</w:t>
      </w:r>
    </w:p>
    <w:p>
      <w:r>
        <w:pict>
          <v:rect style="width:0;height:1.5pt" o:hralign="center" o:hrstd="t" o:hr="t"/>
        </w:pict>
      </w:r>
    </w:p>
    <w:p>
      <w:pPr>
        <w:pStyle w:val="FirstParagraph"/>
      </w:pPr>
      <w:r>
        <w:rPr>
          <w:i/>
          <w:iCs/>
        </w:rPr>
        <w:t xml:space="preserve">Correspondence: Jay Andrew Carpenter, jay.andrew.carpenter@gmail.com</w:t>
      </w:r>
    </w:p>
    <w:p>
      <w:pPr>
        <w:pStyle w:val="BodyText"/>
      </w:pPr>
      <w:r>
        <w:rPr>
          <w:i/>
          <w:iCs/>
        </w:rPr>
        <w:t xml:space="preserve">This paper provides complementary evidence for the OPC maturation arrest hypothesis presented in the author’s submitted preprint (Carpenter, 2026, medRxiv, DOI pending). All source data are curated at https://github.com/JustNothingJay/SECS_Research.</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2026-03-05T02:09:27Z</dcterms:created>
  <dcterms:modified xsi:type="dcterms:W3CDTF">2026-03-05T02:09:27Z</dcterms:modified>
</cp:coreProperties>
</file>

<file path=docProps/custom.xml><?xml version="1.0" encoding="utf-8"?>
<Properties xmlns="http://schemas.openxmlformats.org/officeDocument/2006/custom-properties" xmlns:vt="http://schemas.openxmlformats.org/officeDocument/2006/docPropsVTypes"/>
</file>